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D9F63E5" w14:textId="77777777" w:rsidR="00D62FBE" w:rsidRPr="00D62FBE" w:rsidRDefault="00D62FBE" w:rsidP="00D62FBE">
      <w:pPr>
        <w:keepNext/>
        <w:keepLines/>
        <w:spacing w:before="240" w:line="400" w:lineRule="atLeast"/>
        <w:contextualSpacing/>
        <w:outlineLvl w:val="1"/>
        <w:rPr>
          <w:rFonts w:ascii="Arial" w:eastAsia="Times New Roman" w:hAnsi="Arial" w:cs="Arial"/>
          <w:b/>
          <w:iCs/>
          <w:color w:val="323157"/>
          <w:sz w:val="28"/>
          <w:szCs w:val="28"/>
        </w:rPr>
      </w:pPr>
      <w:bookmarkStart w:id="0" w:name="_Toc505627625"/>
      <w:bookmarkStart w:id="1" w:name="_Toc507331816"/>
      <w:bookmarkStart w:id="2" w:name="_Toc505627621"/>
      <w:r w:rsidRPr="00D62FBE">
        <w:rPr>
          <w:rFonts w:ascii="Arial" w:eastAsia="Times New Roman" w:hAnsi="Arial" w:cs="Arial"/>
          <w:b/>
          <w:iCs/>
          <w:color w:val="323157"/>
          <w:sz w:val="28"/>
          <w:szCs w:val="28"/>
        </w:rPr>
        <w:t>Annex D: Template for a student protection plan</w:t>
      </w:r>
      <w:bookmarkEnd w:id="0"/>
      <w:bookmarkEnd w:id="1"/>
    </w:p>
    <w:tbl>
      <w:tblPr>
        <w:tblStyle w:val="TableGrid"/>
        <w:tblW w:w="9493" w:type="dxa"/>
        <w:tblLook w:val="04A0" w:firstRow="1" w:lastRow="0" w:firstColumn="1" w:lastColumn="0" w:noHBand="0" w:noVBand="1"/>
      </w:tblPr>
      <w:tblGrid>
        <w:gridCol w:w="9493"/>
      </w:tblGrid>
      <w:tr w:rsidR="00D62FBE" w:rsidRPr="00D62FBE" w14:paraId="5C13C3BD" w14:textId="77777777" w:rsidTr="00D62FBE">
        <w:trPr>
          <w:cnfStyle w:val="100000000000" w:firstRow="1" w:lastRow="0" w:firstColumn="0" w:lastColumn="0" w:oddVBand="0" w:evenVBand="0" w:oddHBand="0" w:evenHBand="0" w:firstRowFirstColumn="0" w:firstRowLastColumn="0" w:lastRowFirstColumn="0" w:lastRowLastColumn="0"/>
          <w:tblHeader w:val="0"/>
        </w:trPr>
        <w:tc>
          <w:tcPr>
            <w:tcW w:w="9493" w:type="dxa"/>
          </w:tcPr>
          <w:p w14:paraId="36C7F779" w14:textId="77777777" w:rsidR="00D62FBE" w:rsidRPr="00D62FBE" w:rsidRDefault="00D62FBE" w:rsidP="00D62FBE">
            <w:pPr>
              <w:spacing w:after="0"/>
              <w:rPr>
                <w:rFonts w:cs="Arial"/>
                <w:sz w:val="22"/>
              </w:rPr>
            </w:pPr>
            <w:r w:rsidRPr="00D62FBE">
              <w:rPr>
                <w:rFonts w:cs="Arial"/>
                <w:sz w:val="22"/>
              </w:rPr>
              <w:t>Provider’s name: Royal Academy of Dramatic Art</w:t>
            </w:r>
          </w:p>
          <w:p w14:paraId="306DA809" w14:textId="77777777" w:rsidR="00D62FBE" w:rsidRPr="00D62FBE" w:rsidRDefault="00D62FBE" w:rsidP="00D62FBE">
            <w:pPr>
              <w:spacing w:after="0"/>
              <w:rPr>
                <w:rFonts w:cs="Arial"/>
                <w:sz w:val="22"/>
              </w:rPr>
            </w:pPr>
          </w:p>
          <w:p w14:paraId="79D43B41" w14:textId="77777777" w:rsidR="00D62FBE" w:rsidRPr="00D62FBE" w:rsidRDefault="00D62FBE" w:rsidP="00D62FBE">
            <w:pPr>
              <w:spacing w:after="0"/>
              <w:rPr>
                <w:rFonts w:cs="Arial"/>
                <w:sz w:val="22"/>
              </w:rPr>
            </w:pPr>
            <w:r w:rsidRPr="00D62FBE">
              <w:rPr>
                <w:rFonts w:cs="Arial"/>
                <w:sz w:val="22"/>
              </w:rPr>
              <w:t>Provider’s UKPRN: 10009292</w:t>
            </w:r>
          </w:p>
          <w:p w14:paraId="5DF23295" w14:textId="77777777" w:rsidR="00D62FBE" w:rsidRPr="00D62FBE" w:rsidRDefault="00D62FBE" w:rsidP="00D62FBE">
            <w:pPr>
              <w:spacing w:after="0"/>
              <w:rPr>
                <w:rFonts w:cs="Arial"/>
                <w:sz w:val="22"/>
              </w:rPr>
            </w:pPr>
          </w:p>
          <w:p w14:paraId="2F8B75A4" w14:textId="77777777" w:rsidR="00D62FBE" w:rsidRPr="00D62FBE" w:rsidRDefault="00D62FBE" w:rsidP="00D62FBE">
            <w:pPr>
              <w:spacing w:after="0"/>
              <w:rPr>
                <w:rFonts w:cs="Arial"/>
                <w:sz w:val="22"/>
              </w:rPr>
            </w:pPr>
            <w:r w:rsidRPr="00D62FBE">
              <w:rPr>
                <w:rFonts w:cs="Arial"/>
                <w:sz w:val="22"/>
              </w:rPr>
              <w:t>Legal address:  62-64 Gower Street, London, WC1E 6ED</w:t>
            </w:r>
          </w:p>
          <w:p w14:paraId="142CE38E" w14:textId="77777777" w:rsidR="00D62FBE" w:rsidRPr="00D62FBE" w:rsidRDefault="00D62FBE" w:rsidP="00D62FBE">
            <w:pPr>
              <w:spacing w:after="0"/>
              <w:rPr>
                <w:rFonts w:cs="Arial"/>
                <w:sz w:val="22"/>
              </w:rPr>
            </w:pPr>
          </w:p>
          <w:p w14:paraId="1922834C" w14:textId="44311137" w:rsidR="00D62FBE" w:rsidRPr="00D62FBE" w:rsidRDefault="00D62FBE" w:rsidP="00BE156B">
            <w:pPr>
              <w:spacing w:after="0"/>
              <w:rPr>
                <w:rFonts w:cs="Arial"/>
                <w:sz w:val="22"/>
              </w:rPr>
            </w:pPr>
            <w:r w:rsidRPr="00D62FBE">
              <w:rPr>
                <w:rFonts w:cs="Arial"/>
                <w:sz w:val="22"/>
              </w:rPr>
              <w:t xml:space="preserve">Contact point for enquiries about this student protection plan: </w:t>
            </w:r>
            <w:r w:rsidR="00BE156B">
              <w:rPr>
                <w:rFonts w:cs="Arial"/>
                <w:sz w:val="22"/>
              </w:rPr>
              <w:t>Fraser Jopp, Director of Finance and Operations</w:t>
            </w:r>
            <w:r w:rsidR="000855E4">
              <w:rPr>
                <w:rFonts w:cs="Arial"/>
                <w:sz w:val="22"/>
              </w:rPr>
              <w:t>.</w:t>
            </w:r>
          </w:p>
        </w:tc>
      </w:tr>
      <w:tr w:rsidR="00D62FBE" w:rsidRPr="00D62FBE" w14:paraId="76B6048C" w14:textId="77777777" w:rsidTr="00D62FBE">
        <w:trPr>
          <w:cantSplit w:val="0"/>
        </w:trPr>
        <w:tc>
          <w:tcPr>
            <w:tcW w:w="9493" w:type="dxa"/>
            <w:tcBorders>
              <w:bottom w:val="single" w:sz="4" w:space="0" w:color="auto"/>
            </w:tcBorders>
          </w:tcPr>
          <w:p w14:paraId="7D490E49" w14:textId="79FB0228" w:rsidR="00D62FBE" w:rsidRPr="00D62FBE" w:rsidRDefault="00D62FBE" w:rsidP="005B2ADF">
            <w:pPr>
              <w:spacing w:after="0"/>
              <w:rPr>
                <w:rFonts w:cs="Arial"/>
                <w:b/>
                <w:sz w:val="22"/>
              </w:rPr>
            </w:pPr>
            <w:r w:rsidRPr="00D62FBE">
              <w:rPr>
                <w:rFonts w:cs="Arial"/>
                <w:b/>
                <w:sz w:val="22"/>
              </w:rPr>
              <w:t xml:space="preserve">Student protection plan for the </w:t>
            </w:r>
            <w:r w:rsidR="00BE156B">
              <w:rPr>
                <w:rFonts w:cs="Arial"/>
                <w:b/>
                <w:sz w:val="22"/>
              </w:rPr>
              <w:t>period 202</w:t>
            </w:r>
            <w:r w:rsidR="005B2ADF">
              <w:rPr>
                <w:rFonts w:cs="Arial"/>
                <w:b/>
                <w:sz w:val="22"/>
              </w:rPr>
              <w:t>2</w:t>
            </w:r>
            <w:r w:rsidR="00BE156B">
              <w:rPr>
                <w:rFonts w:cs="Arial"/>
                <w:b/>
                <w:sz w:val="22"/>
              </w:rPr>
              <w:t>-</w:t>
            </w:r>
            <w:r w:rsidR="005B2ADF">
              <w:rPr>
                <w:rFonts w:cs="Arial"/>
                <w:b/>
                <w:sz w:val="22"/>
              </w:rPr>
              <w:t>23</w:t>
            </w:r>
            <w:r w:rsidR="00BE156B">
              <w:rPr>
                <w:rFonts w:cs="Arial"/>
                <w:b/>
                <w:sz w:val="22"/>
              </w:rPr>
              <w:t>: please note that this plan is likely to be updated during the academic year and we will draw applicants and students’ attention to any changes.</w:t>
            </w:r>
          </w:p>
        </w:tc>
      </w:tr>
      <w:tr w:rsidR="00D62FBE" w:rsidRPr="00D62FBE" w14:paraId="31D0E0C6" w14:textId="77777777" w:rsidTr="00D62FBE">
        <w:trPr>
          <w:cantSplit w:val="0"/>
        </w:trPr>
        <w:tc>
          <w:tcPr>
            <w:tcW w:w="9493" w:type="dxa"/>
            <w:tcBorders>
              <w:bottom w:val="nil"/>
            </w:tcBorders>
          </w:tcPr>
          <w:p w14:paraId="3FD95CC8" w14:textId="75CD0F72" w:rsidR="00D62FBE" w:rsidRPr="00D62FBE" w:rsidRDefault="00D62FBE" w:rsidP="00D62FBE">
            <w:pPr>
              <w:spacing w:after="0"/>
              <w:rPr>
                <w:rFonts w:cs="Arial"/>
                <w:b/>
                <w:bCs/>
                <w:sz w:val="22"/>
              </w:rPr>
            </w:pPr>
            <w:r w:rsidRPr="00D62FBE">
              <w:rPr>
                <w:rFonts w:cs="Arial"/>
                <w:b/>
                <w:bCs/>
                <w:sz w:val="22"/>
              </w:rPr>
              <w:t>1 An assessment of the range of risks to the continuation of study for your students,</w:t>
            </w:r>
            <w:r w:rsidRPr="00D62FBE">
              <w:rPr>
                <w:rFonts w:cs="Arial"/>
                <w:sz w:val="22"/>
              </w:rPr>
              <w:t xml:space="preserve"> </w:t>
            </w:r>
            <w:r w:rsidRPr="00D62FBE">
              <w:rPr>
                <w:rFonts w:cs="Arial"/>
                <w:b/>
                <w:bCs/>
                <w:sz w:val="22"/>
              </w:rPr>
              <w:t>how those risks may differ based on your students’ needs, characteristics and circumstances, and the likelihood that those risks will crystallise</w:t>
            </w:r>
            <w:r w:rsidR="000855E4">
              <w:rPr>
                <w:rFonts w:cs="Arial"/>
                <w:b/>
                <w:bCs/>
                <w:sz w:val="22"/>
              </w:rPr>
              <w:t>.</w:t>
            </w:r>
          </w:p>
          <w:p w14:paraId="10C92A1E" w14:textId="77777777" w:rsidR="00D62FBE" w:rsidRPr="00D62FBE" w:rsidRDefault="00D62FBE" w:rsidP="00D62FBE">
            <w:pPr>
              <w:spacing w:after="0"/>
              <w:rPr>
                <w:rFonts w:cs="Arial"/>
                <w:sz w:val="22"/>
              </w:rPr>
            </w:pPr>
          </w:p>
          <w:p w14:paraId="6A5FB9CB" w14:textId="79E7BBCD" w:rsidR="007A6361" w:rsidRPr="007A6361" w:rsidRDefault="007A6361" w:rsidP="007A6361">
            <w:pPr>
              <w:spacing w:after="0"/>
              <w:rPr>
                <w:rFonts w:cs="Arial"/>
                <w:sz w:val="22"/>
              </w:rPr>
            </w:pPr>
            <w:r w:rsidRPr="007A6361">
              <w:rPr>
                <w:rFonts w:cs="Arial"/>
                <w:sz w:val="22"/>
              </w:rPr>
              <w:t>Our financial accounts (</w:t>
            </w:r>
            <w:r w:rsidR="009A3A8E">
              <w:rPr>
                <w:rFonts w:cs="Arial"/>
                <w:sz w:val="22"/>
              </w:rPr>
              <w:t>2019-20</w:t>
            </w:r>
            <w:r w:rsidRPr="007A6361">
              <w:rPr>
                <w:rFonts w:cs="Arial"/>
                <w:sz w:val="22"/>
              </w:rPr>
              <w:t>) showed a turnover of £</w:t>
            </w:r>
            <w:r w:rsidR="009A3A8E">
              <w:rPr>
                <w:rFonts w:cs="Arial"/>
                <w:sz w:val="22"/>
              </w:rPr>
              <w:t>11.4</w:t>
            </w:r>
            <w:r w:rsidRPr="007A6361">
              <w:rPr>
                <w:rFonts w:cs="Arial"/>
                <w:sz w:val="22"/>
              </w:rPr>
              <w:t>m</w:t>
            </w:r>
            <w:r w:rsidR="001205B9">
              <w:rPr>
                <w:rFonts w:cs="Arial"/>
                <w:sz w:val="22"/>
              </w:rPr>
              <w:t xml:space="preserve"> (lower than usual due to Covid)</w:t>
            </w:r>
            <w:r w:rsidRPr="007A6361">
              <w:rPr>
                <w:rFonts w:cs="Arial"/>
                <w:sz w:val="22"/>
              </w:rPr>
              <w:t>, total reserves of £</w:t>
            </w:r>
            <w:r w:rsidR="009A3A8E">
              <w:rPr>
                <w:rFonts w:cs="Arial"/>
                <w:sz w:val="22"/>
              </w:rPr>
              <w:t>37.5</w:t>
            </w:r>
            <w:r w:rsidRPr="007A6361">
              <w:rPr>
                <w:rFonts w:cs="Arial"/>
                <w:sz w:val="22"/>
              </w:rPr>
              <w:t>m, and cash of £</w:t>
            </w:r>
            <w:r w:rsidR="001205B9">
              <w:rPr>
                <w:rFonts w:cs="Arial"/>
                <w:sz w:val="22"/>
              </w:rPr>
              <w:t>0.5</w:t>
            </w:r>
            <w:r w:rsidRPr="007A6361">
              <w:rPr>
                <w:rFonts w:cs="Arial"/>
                <w:sz w:val="22"/>
              </w:rPr>
              <w:t>m. Our income is diversified between regulated course fees, short courses and commercial activity, and significant philanthropic support, so we are not completely reliant on any one area. HE student fees are only 13% of our total income, totalling £1.7m per year. Our reserves include endowment funds of £</w:t>
            </w:r>
            <w:r w:rsidR="001205B9">
              <w:rPr>
                <w:rFonts w:cs="Arial"/>
                <w:sz w:val="22"/>
              </w:rPr>
              <w:t>5.3</w:t>
            </w:r>
            <w:r w:rsidRPr="007A6361">
              <w:rPr>
                <w:rFonts w:cs="Arial"/>
                <w:sz w:val="22"/>
              </w:rPr>
              <w:t>m and unrestricted or designated reserves of £6.8m that are available at short notice. Our Business Continuity Planning, including a robust approach to risk management, gives us confidence that we will be able to continue operating and delivering our core purposes.</w:t>
            </w:r>
          </w:p>
          <w:p w14:paraId="39409904" w14:textId="77777777" w:rsidR="00D62FBE" w:rsidRPr="00D62FBE" w:rsidRDefault="00D62FBE" w:rsidP="00D62FBE">
            <w:pPr>
              <w:spacing w:after="0"/>
              <w:rPr>
                <w:rFonts w:cs="Arial"/>
                <w:sz w:val="22"/>
              </w:rPr>
            </w:pPr>
          </w:p>
          <w:p w14:paraId="7E3AFE06" w14:textId="4728B74E" w:rsidR="00D62FBE" w:rsidRPr="00D62FBE" w:rsidRDefault="00D62FBE" w:rsidP="00D62FBE">
            <w:pPr>
              <w:spacing w:after="0"/>
              <w:rPr>
                <w:rFonts w:cs="Arial"/>
                <w:sz w:val="22"/>
              </w:rPr>
            </w:pPr>
            <w:r w:rsidRPr="00D62FBE">
              <w:rPr>
                <w:rFonts w:cs="Arial"/>
                <w:sz w:val="22"/>
              </w:rPr>
              <w:t>In the current admission cycle</w:t>
            </w:r>
            <w:r w:rsidR="00C41384">
              <w:rPr>
                <w:rFonts w:cs="Arial"/>
                <w:sz w:val="22"/>
              </w:rPr>
              <w:t>,</w:t>
            </w:r>
            <w:r w:rsidRPr="00D62FBE">
              <w:rPr>
                <w:rFonts w:cs="Arial"/>
                <w:sz w:val="22"/>
              </w:rPr>
              <w:t xml:space="preserve"> we have received </w:t>
            </w:r>
            <w:r w:rsidR="00900461">
              <w:t>4,516</w:t>
            </w:r>
            <w:r w:rsidR="005A407C">
              <w:t xml:space="preserve"> </w:t>
            </w:r>
            <w:r w:rsidRPr="00D62FBE">
              <w:rPr>
                <w:rFonts w:cs="Arial"/>
                <w:sz w:val="22"/>
              </w:rPr>
              <w:t>applications for 28 places on our BA Acting.</w:t>
            </w:r>
          </w:p>
          <w:p w14:paraId="383028A3" w14:textId="77777777" w:rsidR="00D62FBE" w:rsidRPr="00D62FBE" w:rsidRDefault="00D62FBE" w:rsidP="00D62FBE">
            <w:pPr>
              <w:spacing w:after="0"/>
              <w:rPr>
                <w:rFonts w:cs="Arial"/>
                <w:sz w:val="22"/>
              </w:rPr>
            </w:pPr>
          </w:p>
          <w:p w14:paraId="2A93C3D1" w14:textId="77777777" w:rsidR="00D62FBE" w:rsidRPr="00D62FBE" w:rsidRDefault="00D62FBE" w:rsidP="00D62FBE">
            <w:pPr>
              <w:spacing w:after="0"/>
              <w:rPr>
                <w:rFonts w:cs="Arial"/>
                <w:sz w:val="22"/>
              </w:rPr>
            </w:pPr>
            <w:r w:rsidRPr="00D62FBE">
              <w:rPr>
                <w:rFonts w:cs="Arial"/>
                <w:sz w:val="22"/>
              </w:rPr>
              <w:t xml:space="preserve">We offer a small portfolio of programmes. The risk that we cease to offer programmes in any given area is very low: our programmes speak to the core disciplines of the theatre, and our institutional mission requires that we offer education in these areas. </w:t>
            </w:r>
          </w:p>
          <w:p w14:paraId="01CBF129" w14:textId="77777777" w:rsidR="00D62FBE" w:rsidRPr="00D62FBE" w:rsidRDefault="00D62FBE" w:rsidP="00D62FBE">
            <w:pPr>
              <w:spacing w:after="0"/>
              <w:rPr>
                <w:rFonts w:cs="Arial"/>
                <w:sz w:val="22"/>
              </w:rPr>
            </w:pPr>
          </w:p>
          <w:p w14:paraId="06A63877" w14:textId="135A9F04" w:rsidR="00D62FBE" w:rsidRPr="00D62FBE" w:rsidRDefault="001205B9">
            <w:pPr>
              <w:spacing w:after="0"/>
              <w:rPr>
                <w:rFonts w:cs="Arial"/>
                <w:sz w:val="22"/>
              </w:rPr>
            </w:pPr>
            <w:r>
              <w:rPr>
                <w:rFonts w:cs="Arial"/>
                <w:sz w:val="22"/>
              </w:rPr>
              <w:t>The programme structures have (</w:t>
            </w:r>
            <w:r w:rsidR="005A407C">
              <w:rPr>
                <w:rFonts w:cs="Arial"/>
                <w:sz w:val="22"/>
              </w:rPr>
              <w:t>apart</w:t>
            </w:r>
            <w:r>
              <w:rPr>
                <w:rFonts w:cs="Arial"/>
                <w:sz w:val="22"/>
              </w:rPr>
              <w:t xml:space="preserve"> </w:t>
            </w:r>
            <w:r w:rsidR="00CE0F31">
              <w:rPr>
                <w:rFonts w:cs="Arial"/>
                <w:sz w:val="22"/>
              </w:rPr>
              <w:t>from</w:t>
            </w:r>
            <w:r>
              <w:rPr>
                <w:rFonts w:cs="Arial"/>
                <w:sz w:val="22"/>
              </w:rPr>
              <w:t xml:space="preserve"> Covid related changes) been stably in place since the last review and we are confident in our ability to deliver them</w:t>
            </w:r>
          </w:p>
        </w:tc>
      </w:tr>
      <w:tr w:rsidR="00D62FBE" w:rsidRPr="00D62FBE" w14:paraId="79C2C6B0" w14:textId="77777777" w:rsidTr="000855E4">
        <w:trPr>
          <w:cantSplit w:val="0"/>
          <w:trHeight w:val="3782"/>
        </w:trPr>
        <w:tc>
          <w:tcPr>
            <w:tcW w:w="9493" w:type="dxa"/>
            <w:tcBorders>
              <w:bottom w:val="nil"/>
            </w:tcBorders>
          </w:tcPr>
          <w:p w14:paraId="62E1294B" w14:textId="77777777" w:rsidR="00D62FBE" w:rsidRPr="00D62FBE" w:rsidRDefault="00D62FBE" w:rsidP="00D62FBE">
            <w:pPr>
              <w:spacing w:after="0"/>
              <w:rPr>
                <w:rFonts w:cs="Arial"/>
                <w:b/>
                <w:sz w:val="22"/>
              </w:rPr>
            </w:pPr>
            <w:r w:rsidRPr="00D62FBE">
              <w:rPr>
                <w:rFonts w:cs="Arial"/>
                <w:b/>
                <w:sz w:val="22"/>
              </w:rPr>
              <w:t>2 The measures that you have put in place to mitigate those risks that you consider to be reasonably likely to crystallise</w:t>
            </w:r>
          </w:p>
          <w:p w14:paraId="72FA1F26" w14:textId="77777777" w:rsidR="00D62FBE" w:rsidRPr="00D62FBE" w:rsidRDefault="00D62FBE" w:rsidP="00D62FBE">
            <w:pPr>
              <w:spacing w:after="0"/>
              <w:rPr>
                <w:rFonts w:cs="Arial"/>
                <w:b/>
                <w:sz w:val="22"/>
              </w:rPr>
            </w:pPr>
          </w:p>
          <w:p w14:paraId="34213A35" w14:textId="6768FECB" w:rsidR="00D62FBE" w:rsidRPr="00D62FBE" w:rsidRDefault="00787514" w:rsidP="00D62FBE">
            <w:pPr>
              <w:spacing w:after="0"/>
              <w:rPr>
                <w:rFonts w:cs="Arial"/>
                <w:sz w:val="22"/>
              </w:rPr>
            </w:pPr>
            <w:r>
              <w:rPr>
                <w:rFonts w:cs="Arial"/>
                <w:sz w:val="22"/>
              </w:rPr>
              <w:t>The main risk that is reasonably likely to crystallise is the disruption of teaching due to the Covid pandemic (as with all other HEPs)</w:t>
            </w:r>
            <w:r w:rsidR="000855E4">
              <w:rPr>
                <w:rFonts w:cs="Arial"/>
                <w:sz w:val="22"/>
              </w:rPr>
              <w:t>.</w:t>
            </w:r>
            <w:r w:rsidR="001205B9">
              <w:rPr>
                <w:rFonts w:cs="Arial"/>
                <w:sz w:val="22"/>
              </w:rPr>
              <w:t xml:space="preserve"> We have used the lessons </w:t>
            </w:r>
            <w:r w:rsidR="005A407C">
              <w:rPr>
                <w:rFonts w:cs="Arial"/>
                <w:sz w:val="22"/>
              </w:rPr>
              <w:t>learned</w:t>
            </w:r>
            <w:r w:rsidR="001205B9">
              <w:rPr>
                <w:rFonts w:cs="Arial"/>
                <w:sz w:val="22"/>
              </w:rPr>
              <w:t xml:space="preserve"> in 2019-21 to identify what contingency plans we can put in place to </w:t>
            </w:r>
            <w:r>
              <w:rPr>
                <w:rFonts w:cs="Arial"/>
                <w:sz w:val="22"/>
              </w:rPr>
              <w:t>ensure continuity of training, including some use of online training, smaller class sizes, testing, face coverings and bubbling</w:t>
            </w:r>
          </w:p>
        </w:tc>
      </w:tr>
      <w:tr w:rsidR="00D62FBE" w:rsidRPr="00D62FBE" w14:paraId="6DB92F7B" w14:textId="77777777" w:rsidTr="00D62FBE">
        <w:trPr>
          <w:cantSplit w:val="0"/>
        </w:trPr>
        <w:tc>
          <w:tcPr>
            <w:tcW w:w="9493" w:type="dxa"/>
            <w:tcBorders>
              <w:top w:val="nil"/>
              <w:bottom w:val="single" w:sz="4" w:space="0" w:color="auto"/>
            </w:tcBorders>
          </w:tcPr>
          <w:p w14:paraId="404D3A0F" w14:textId="77777777" w:rsidR="00D62FBE" w:rsidRPr="00D62FBE" w:rsidRDefault="00D62FBE" w:rsidP="00D62FBE">
            <w:pPr>
              <w:spacing w:after="0"/>
              <w:rPr>
                <w:rFonts w:cs="Arial"/>
                <w:i/>
                <w:sz w:val="22"/>
                <w:szCs w:val="24"/>
              </w:rPr>
            </w:pPr>
          </w:p>
        </w:tc>
      </w:tr>
    </w:tbl>
    <w:p w14:paraId="745F804F" w14:textId="77777777" w:rsidR="00D62FBE" w:rsidRPr="00D62FBE" w:rsidRDefault="00D62FBE" w:rsidP="00D62FBE">
      <w:pPr>
        <w:spacing w:after="0" w:line="240" w:lineRule="auto"/>
        <w:rPr>
          <w:rFonts w:ascii="Arial" w:eastAsia="Calibri" w:hAnsi="Arial" w:cs="Times New Roman"/>
          <w:sz w:val="22"/>
          <w:szCs w:val="24"/>
        </w:rPr>
      </w:pPr>
    </w:p>
    <w:tbl>
      <w:tblPr>
        <w:tblStyle w:val="TableGrid"/>
        <w:tblW w:w="9493" w:type="dxa"/>
        <w:tblLook w:val="04A0" w:firstRow="1" w:lastRow="0" w:firstColumn="1" w:lastColumn="0" w:noHBand="0" w:noVBand="1"/>
      </w:tblPr>
      <w:tblGrid>
        <w:gridCol w:w="9493"/>
      </w:tblGrid>
      <w:tr w:rsidR="00D62FBE" w:rsidRPr="00D62FBE" w14:paraId="03CA0BB9" w14:textId="77777777" w:rsidTr="00D62FBE">
        <w:trPr>
          <w:cnfStyle w:val="100000000000" w:firstRow="1" w:lastRow="0" w:firstColumn="0" w:lastColumn="0" w:oddVBand="0" w:evenVBand="0" w:oddHBand="0" w:evenHBand="0" w:firstRowFirstColumn="0" w:firstRowLastColumn="0" w:lastRowFirstColumn="0" w:lastRowLastColumn="0"/>
          <w:tblHeader w:val="0"/>
        </w:trPr>
        <w:tc>
          <w:tcPr>
            <w:tcW w:w="9493" w:type="dxa"/>
            <w:tcBorders>
              <w:bottom w:val="nil"/>
            </w:tcBorders>
          </w:tcPr>
          <w:p w14:paraId="0ECA5601" w14:textId="42038F2F" w:rsidR="00D62FBE" w:rsidRPr="00D62FBE" w:rsidRDefault="00D62FBE" w:rsidP="00D62FBE">
            <w:pPr>
              <w:spacing w:after="0"/>
              <w:rPr>
                <w:rFonts w:cs="Arial"/>
                <w:b/>
                <w:bCs/>
                <w:sz w:val="22"/>
                <w:szCs w:val="24"/>
              </w:rPr>
            </w:pPr>
            <w:r w:rsidRPr="00D62FBE">
              <w:rPr>
                <w:rFonts w:cs="Arial"/>
                <w:b/>
                <w:bCs/>
                <w:sz w:val="22"/>
                <w:szCs w:val="24"/>
              </w:rPr>
              <w:t>3. Information about the policy you have in place to refund tuition fees and other relevant costs to your students and to provide compensation where necessary in the event that you are no longer able to preserve continuation of study</w:t>
            </w:r>
            <w:r w:rsidR="000855E4">
              <w:rPr>
                <w:rFonts w:cs="Arial"/>
                <w:b/>
                <w:bCs/>
                <w:sz w:val="22"/>
                <w:szCs w:val="24"/>
              </w:rPr>
              <w:t>.</w:t>
            </w:r>
          </w:p>
          <w:p w14:paraId="03522F38" w14:textId="77777777" w:rsidR="00D62FBE" w:rsidRPr="00D62FBE" w:rsidRDefault="00D62FBE" w:rsidP="00D62FBE">
            <w:pPr>
              <w:spacing w:after="0"/>
              <w:rPr>
                <w:rFonts w:cs="Arial"/>
                <w:b/>
                <w:bCs/>
                <w:sz w:val="22"/>
                <w:szCs w:val="24"/>
              </w:rPr>
            </w:pPr>
          </w:p>
          <w:p w14:paraId="02EA3C6F" w14:textId="77777777" w:rsidR="00D62FBE" w:rsidRPr="00D62FBE" w:rsidRDefault="00D62FBE" w:rsidP="00D62FBE">
            <w:pPr>
              <w:spacing w:after="0"/>
              <w:rPr>
                <w:rFonts w:cs="Arial"/>
                <w:bCs/>
                <w:sz w:val="22"/>
                <w:szCs w:val="24"/>
              </w:rPr>
            </w:pPr>
            <w:r w:rsidRPr="00D62FBE">
              <w:rPr>
                <w:rFonts w:cs="Arial"/>
                <w:bCs/>
                <w:sz w:val="22"/>
                <w:szCs w:val="24"/>
              </w:rPr>
              <w:t>Our refund policy is attached.</w:t>
            </w:r>
          </w:p>
          <w:p w14:paraId="6F1D0D92" w14:textId="77777777" w:rsidR="00D62FBE" w:rsidRPr="00D62FBE" w:rsidRDefault="00D62FBE" w:rsidP="00D62FBE">
            <w:pPr>
              <w:spacing w:after="0"/>
              <w:rPr>
                <w:rFonts w:cs="Arial"/>
                <w:bCs/>
                <w:sz w:val="22"/>
                <w:szCs w:val="24"/>
              </w:rPr>
            </w:pPr>
          </w:p>
          <w:p w14:paraId="489E8110" w14:textId="76344785" w:rsidR="00D62FBE" w:rsidRPr="00D62FBE" w:rsidRDefault="00D62FBE" w:rsidP="00D62FBE">
            <w:pPr>
              <w:spacing w:after="0"/>
              <w:rPr>
                <w:rFonts w:cs="Arial"/>
                <w:bCs/>
                <w:sz w:val="22"/>
                <w:szCs w:val="24"/>
              </w:rPr>
            </w:pPr>
            <w:r w:rsidRPr="00D62FBE">
              <w:rPr>
                <w:rFonts w:cs="Arial"/>
                <w:bCs/>
                <w:sz w:val="22"/>
                <w:szCs w:val="24"/>
              </w:rPr>
              <w:t>As noted above, the likelihood that we would be unable to preserve continuation of study for our students is very low. Our assets far outweigh the possible costs of compensation under this policy: in this way</w:t>
            </w:r>
            <w:r w:rsidR="00C41384">
              <w:rPr>
                <w:rFonts w:cs="Arial"/>
                <w:bCs/>
                <w:sz w:val="22"/>
                <w:szCs w:val="24"/>
              </w:rPr>
              <w:t>,</w:t>
            </w:r>
            <w:r w:rsidRPr="00D62FBE">
              <w:rPr>
                <w:rFonts w:cs="Arial"/>
                <w:bCs/>
                <w:sz w:val="22"/>
                <w:szCs w:val="24"/>
              </w:rPr>
              <w:t xml:space="preserve"> we would be able to honour the obligations set out in that policy.</w:t>
            </w:r>
          </w:p>
        </w:tc>
      </w:tr>
      <w:tr w:rsidR="00D62FBE" w:rsidRPr="00D62FBE" w14:paraId="501BDBB4" w14:textId="77777777" w:rsidTr="007A6361">
        <w:trPr>
          <w:cantSplit w:val="0"/>
        </w:trPr>
        <w:tc>
          <w:tcPr>
            <w:tcW w:w="9493" w:type="dxa"/>
            <w:tcBorders>
              <w:top w:val="nil"/>
              <w:bottom w:val="single" w:sz="4" w:space="0" w:color="auto"/>
            </w:tcBorders>
          </w:tcPr>
          <w:p w14:paraId="79306190" w14:textId="77777777" w:rsidR="00D62FBE" w:rsidRPr="00D62FBE" w:rsidRDefault="00D62FBE" w:rsidP="00D62FBE">
            <w:pPr>
              <w:spacing w:after="0"/>
              <w:rPr>
                <w:rFonts w:cs="Arial"/>
                <w:i/>
                <w:sz w:val="22"/>
                <w:szCs w:val="24"/>
              </w:rPr>
            </w:pPr>
          </w:p>
        </w:tc>
      </w:tr>
      <w:tr w:rsidR="00D62FBE" w:rsidRPr="00D62FBE" w14:paraId="4348B6EE" w14:textId="77777777" w:rsidTr="007A6361">
        <w:trPr>
          <w:cantSplit w:val="0"/>
        </w:trPr>
        <w:tc>
          <w:tcPr>
            <w:tcW w:w="9493" w:type="dxa"/>
            <w:tcBorders>
              <w:bottom w:val="single" w:sz="4" w:space="0" w:color="auto"/>
            </w:tcBorders>
          </w:tcPr>
          <w:p w14:paraId="57C8751C" w14:textId="183D2F44" w:rsidR="00D62FBE" w:rsidRPr="00D62FBE" w:rsidRDefault="00D62FBE" w:rsidP="00D62FBE">
            <w:pPr>
              <w:spacing w:after="0"/>
              <w:rPr>
                <w:rFonts w:cs="Arial"/>
                <w:b/>
                <w:sz w:val="22"/>
                <w:szCs w:val="24"/>
              </w:rPr>
            </w:pPr>
            <w:r w:rsidRPr="00D62FBE">
              <w:rPr>
                <w:rFonts w:cs="Arial"/>
                <w:b/>
                <w:sz w:val="22"/>
                <w:szCs w:val="24"/>
              </w:rPr>
              <w:t>4. Information about how you will communicate with students about your student protection plan</w:t>
            </w:r>
            <w:r w:rsidR="000855E4">
              <w:rPr>
                <w:rFonts w:cs="Arial"/>
                <w:b/>
                <w:sz w:val="22"/>
                <w:szCs w:val="24"/>
              </w:rPr>
              <w:t>.</w:t>
            </w:r>
          </w:p>
          <w:p w14:paraId="4041A284" w14:textId="77777777" w:rsidR="00D62FBE" w:rsidRPr="00D62FBE" w:rsidRDefault="00D62FBE" w:rsidP="00D62FBE">
            <w:pPr>
              <w:spacing w:after="0"/>
              <w:rPr>
                <w:rFonts w:cs="Arial"/>
                <w:b/>
                <w:sz w:val="22"/>
                <w:szCs w:val="24"/>
              </w:rPr>
            </w:pPr>
          </w:p>
          <w:p w14:paraId="310478A5" w14:textId="77777777" w:rsidR="00D62FBE" w:rsidRPr="00D62FBE" w:rsidRDefault="00D62FBE" w:rsidP="00D62FBE">
            <w:pPr>
              <w:spacing w:after="0"/>
              <w:rPr>
                <w:rFonts w:cs="Arial"/>
                <w:sz w:val="22"/>
                <w:szCs w:val="24"/>
              </w:rPr>
            </w:pPr>
            <w:r w:rsidRPr="00D62FBE">
              <w:rPr>
                <w:rFonts w:cs="Arial"/>
                <w:sz w:val="22"/>
                <w:szCs w:val="24"/>
              </w:rPr>
              <w:t>We will provide a link to our student protection plan from our webpage, and notify current and future students via an update to our terms and conditions over the summer period.</w:t>
            </w:r>
          </w:p>
          <w:p w14:paraId="139531DA" w14:textId="77777777" w:rsidR="00D62FBE" w:rsidRPr="00D62FBE" w:rsidRDefault="00D62FBE" w:rsidP="00D62FBE">
            <w:pPr>
              <w:spacing w:after="0"/>
              <w:rPr>
                <w:rFonts w:cs="Arial"/>
                <w:sz w:val="22"/>
                <w:szCs w:val="24"/>
              </w:rPr>
            </w:pPr>
          </w:p>
          <w:p w14:paraId="5DA63EDA" w14:textId="75000CD9" w:rsidR="00D62FBE" w:rsidRDefault="00D62FBE" w:rsidP="00D62FBE">
            <w:pPr>
              <w:spacing w:after="0"/>
              <w:rPr>
                <w:rFonts w:cs="Arial"/>
                <w:sz w:val="22"/>
                <w:szCs w:val="24"/>
              </w:rPr>
            </w:pPr>
            <w:r w:rsidRPr="00D62FBE">
              <w:rPr>
                <w:rFonts w:cs="Arial"/>
                <w:sz w:val="22"/>
                <w:szCs w:val="24"/>
              </w:rPr>
              <w:t xml:space="preserve">All programme changes involve our Director and Senior </w:t>
            </w:r>
            <w:r w:rsidR="007A6361">
              <w:rPr>
                <w:rFonts w:cs="Arial"/>
                <w:sz w:val="22"/>
                <w:szCs w:val="24"/>
              </w:rPr>
              <w:t>Leadership</w:t>
            </w:r>
            <w:r w:rsidRPr="00D62FBE">
              <w:rPr>
                <w:rFonts w:cs="Arial"/>
                <w:sz w:val="22"/>
                <w:szCs w:val="24"/>
              </w:rPr>
              <w:t xml:space="preserve"> Team, who are aware of the Student Protection Plan and its implications.</w:t>
            </w:r>
          </w:p>
          <w:p w14:paraId="1DF9C4CA" w14:textId="77777777" w:rsidR="007A6361" w:rsidRPr="00D62FBE" w:rsidRDefault="007A6361" w:rsidP="00D62FBE">
            <w:pPr>
              <w:spacing w:after="0"/>
              <w:rPr>
                <w:rFonts w:cs="Arial"/>
                <w:sz w:val="22"/>
                <w:szCs w:val="24"/>
              </w:rPr>
            </w:pPr>
          </w:p>
          <w:p w14:paraId="5EA222CA" w14:textId="7CC597C4" w:rsidR="007A6361" w:rsidRPr="00D62FBE" w:rsidRDefault="007A6361" w:rsidP="007A6361">
            <w:pPr>
              <w:spacing w:after="0"/>
              <w:rPr>
                <w:rFonts w:cs="Arial"/>
                <w:sz w:val="22"/>
                <w:szCs w:val="24"/>
              </w:rPr>
            </w:pPr>
            <w:r w:rsidRPr="00D62FBE">
              <w:rPr>
                <w:rFonts w:cs="Arial"/>
                <w:sz w:val="22"/>
                <w:szCs w:val="24"/>
              </w:rPr>
              <w:t xml:space="preserve">We will review our Student Protection Plan annually at Academic Board, which </w:t>
            </w:r>
            <w:r>
              <w:rPr>
                <w:rFonts w:cs="Arial"/>
                <w:sz w:val="22"/>
                <w:szCs w:val="24"/>
              </w:rPr>
              <w:t>includes students from different programmes</w:t>
            </w:r>
            <w:r w:rsidRPr="00D62FBE">
              <w:rPr>
                <w:rFonts w:cs="Arial"/>
                <w:sz w:val="22"/>
                <w:szCs w:val="24"/>
              </w:rPr>
              <w:t>.</w:t>
            </w:r>
            <w:r>
              <w:rPr>
                <w:rFonts w:cs="Arial"/>
                <w:sz w:val="22"/>
                <w:szCs w:val="24"/>
              </w:rPr>
              <w:t xml:space="preserve"> </w:t>
            </w:r>
          </w:p>
          <w:p w14:paraId="0D1D7E05" w14:textId="77777777" w:rsidR="007A6361" w:rsidRPr="00D62FBE" w:rsidRDefault="007A6361" w:rsidP="007A6361">
            <w:pPr>
              <w:spacing w:after="0"/>
              <w:rPr>
                <w:rFonts w:cs="Arial"/>
                <w:sz w:val="22"/>
                <w:szCs w:val="24"/>
              </w:rPr>
            </w:pPr>
          </w:p>
          <w:p w14:paraId="3F78491A" w14:textId="6B392E22" w:rsidR="007A6361" w:rsidRPr="00D62FBE" w:rsidRDefault="007A6361" w:rsidP="007A6361">
            <w:pPr>
              <w:spacing w:after="0"/>
              <w:rPr>
                <w:rFonts w:cs="Arial"/>
                <w:sz w:val="22"/>
                <w:szCs w:val="24"/>
              </w:rPr>
            </w:pPr>
            <w:r w:rsidRPr="00D62FBE">
              <w:rPr>
                <w:rFonts w:cs="Arial"/>
                <w:sz w:val="22"/>
                <w:szCs w:val="24"/>
              </w:rPr>
              <w:t>In the event that we need to implement our Student Protection Plan, we will meet with affected students – either individually or in groups – and follow up in writing.</w:t>
            </w:r>
          </w:p>
          <w:p w14:paraId="049948A2" w14:textId="77777777" w:rsidR="007A6361" w:rsidRPr="00D62FBE" w:rsidRDefault="007A6361" w:rsidP="007A6361">
            <w:pPr>
              <w:spacing w:after="0"/>
              <w:rPr>
                <w:rFonts w:cs="Arial"/>
                <w:sz w:val="22"/>
                <w:szCs w:val="24"/>
              </w:rPr>
            </w:pPr>
          </w:p>
          <w:p w14:paraId="4DC6160C" w14:textId="1C9B1A4F" w:rsidR="007A6361" w:rsidRPr="007A6361" w:rsidRDefault="007A6361" w:rsidP="007A6361">
            <w:pPr>
              <w:spacing w:after="0"/>
              <w:rPr>
                <w:rFonts w:cs="Arial"/>
                <w:sz w:val="22"/>
                <w:szCs w:val="24"/>
              </w:rPr>
            </w:pPr>
            <w:r w:rsidRPr="00D62FBE">
              <w:rPr>
                <w:rFonts w:cs="Arial"/>
                <w:sz w:val="22"/>
                <w:szCs w:val="24"/>
              </w:rPr>
              <w:t>Should students need independent advice we will provide access to advocacy or counselling as appropriate.</w:t>
            </w:r>
          </w:p>
        </w:tc>
      </w:tr>
      <w:bookmarkEnd w:id="2"/>
    </w:tbl>
    <w:p w14:paraId="61F8E1C5" w14:textId="77777777" w:rsidR="00D62FBE" w:rsidRPr="00D62FBE" w:rsidRDefault="00D62FBE" w:rsidP="00D62FBE">
      <w:pPr>
        <w:spacing w:after="0" w:line="240" w:lineRule="auto"/>
        <w:rPr>
          <w:rFonts w:ascii="Arial" w:eastAsia="Calibri" w:hAnsi="Arial" w:cs="Times New Roman"/>
          <w:sz w:val="22"/>
          <w:szCs w:val="24"/>
        </w:rPr>
      </w:pPr>
    </w:p>
    <w:p w14:paraId="5AD27C31" w14:textId="77777777" w:rsidR="00D62FBE" w:rsidRDefault="00D62FBE">
      <w:pPr>
        <w:spacing w:after="160"/>
        <w:rPr>
          <w:rFonts w:eastAsiaTheme="majorEastAsia" w:cstheme="minorHAnsi"/>
          <w:b/>
          <w:kern w:val="28"/>
          <w:sz w:val="32"/>
          <w:szCs w:val="56"/>
        </w:rPr>
      </w:pPr>
      <w:r>
        <w:br w:type="page"/>
      </w:r>
    </w:p>
    <w:p w14:paraId="3E39EBBA" w14:textId="654D2006" w:rsidR="00792E93" w:rsidRPr="00D62FBE" w:rsidRDefault="00A612F8" w:rsidP="00A612F8">
      <w:pPr>
        <w:pStyle w:val="Title"/>
        <w:rPr>
          <w:rFonts w:ascii="Arial" w:hAnsi="Arial" w:cs="Arial"/>
          <w:sz w:val="28"/>
        </w:rPr>
      </w:pPr>
      <w:r w:rsidRPr="00D62FBE">
        <w:rPr>
          <w:rFonts w:ascii="Arial" w:hAnsi="Arial" w:cs="Arial"/>
          <w:sz w:val="28"/>
        </w:rPr>
        <w:lastRenderedPageBreak/>
        <w:t>RADA –</w:t>
      </w:r>
      <w:r w:rsidR="00AB405F" w:rsidRPr="00D62FBE">
        <w:rPr>
          <w:rFonts w:ascii="Arial" w:hAnsi="Arial" w:cs="Arial"/>
          <w:sz w:val="28"/>
        </w:rPr>
        <w:t xml:space="preserve"> R</w:t>
      </w:r>
      <w:r w:rsidRPr="00D62FBE">
        <w:rPr>
          <w:rFonts w:ascii="Arial" w:hAnsi="Arial" w:cs="Arial"/>
          <w:sz w:val="28"/>
        </w:rPr>
        <w:t>efund policy</w:t>
      </w:r>
    </w:p>
    <w:p w14:paraId="4F151BB5" w14:textId="77777777" w:rsidR="00A612F8" w:rsidRPr="00D62FBE" w:rsidRDefault="00A612F8" w:rsidP="00A612F8">
      <w:pPr>
        <w:pStyle w:val="Heading1"/>
        <w:rPr>
          <w:rFonts w:ascii="Arial" w:hAnsi="Arial" w:cs="Arial"/>
          <w:sz w:val="24"/>
        </w:rPr>
      </w:pPr>
      <w:r w:rsidRPr="00D62FBE">
        <w:rPr>
          <w:rFonts w:ascii="Arial" w:hAnsi="Arial" w:cs="Arial"/>
          <w:sz w:val="24"/>
        </w:rPr>
        <w:t>Scope</w:t>
      </w:r>
    </w:p>
    <w:p w14:paraId="77D4C01F" w14:textId="2430F1FA" w:rsidR="00A612F8" w:rsidRPr="00FF189F" w:rsidRDefault="00A612F8" w:rsidP="00A612F8">
      <w:pPr>
        <w:pStyle w:val="Numbered"/>
        <w:rPr>
          <w:rFonts w:ascii="Arial" w:hAnsi="Arial" w:cs="Arial"/>
          <w:sz w:val="22"/>
        </w:rPr>
      </w:pPr>
      <w:r w:rsidRPr="00FF189F">
        <w:rPr>
          <w:rFonts w:ascii="Arial" w:hAnsi="Arial" w:cs="Arial"/>
          <w:sz w:val="22"/>
        </w:rPr>
        <w:t xml:space="preserve">This policy </w:t>
      </w:r>
      <w:r w:rsidR="00AB405F" w:rsidRPr="00FF189F">
        <w:rPr>
          <w:rFonts w:ascii="Arial" w:hAnsi="Arial" w:cs="Arial"/>
          <w:sz w:val="22"/>
        </w:rPr>
        <w:t>addresses refunds and compensation for RADA students. It is written to satisfy the requirement of the OfS for a policy statement in this regard.</w:t>
      </w:r>
      <w:r w:rsidR="007A6361" w:rsidRPr="00FF189F">
        <w:rPr>
          <w:rFonts w:ascii="Arial" w:hAnsi="Arial" w:cs="Arial"/>
          <w:sz w:val="22"/>
        </w:rPr>
        <w:t xml:space="preserve"> This policy covers students who have a contract with RADA and are registered on a RADA higher education programme. It does not cover students whose registration is with another HE provider (for example where a programme is offered in partnership).</w:t>
      </w:r>
    </w:p>
    <w:p w14:paraId="7E2B1771" w14:textId="7DC6022F" w:rsidR="0039021E" w:rsidRPr="00D62FBE" w:rsidRDefault="0039021E" w:rsidP="00A612F8">
      <w:pPr>
        <w:pStyle w:val="Numbered"/>
        <w:rPr>
          <w:rFonts w:ascii="Arial" w:hAnsi="Arial" w:cs="Arial"/>
          <w:sz w:val="22"/>
        </w:rPr>
      </w:pPr>
      <w:r w:rsidRPr="00FF189F">
        <w:rPr>
          <w:rFonts w:ascii="Arial" w:hAnsi="Arial" w:cs="Arial"/>
          <w:sz w:val="22"/>
        </w:rPr>
        <w:t xml:space="preserve">This policy covers situations where RADA is unable to continue to offer a programme upon which students are currently </w:t>
      </w:r>
      <w:r w:rsidRPr="00D62FBE">
        <w:rPr>
          <w:rFonts w:ascii="Arial" w:hAnsi="Arial" w:cs="Arial"/>
          <w:sz w:val="22"/>
        </w:rPr>
        <w:t>registered and either</w:t>
      </w:r>
    </w:p>
    <w:p w14:paraId="2F2E6265" w14:textId="62146D42" w:rsidR="0039021E" w:rsidRPr="00D62FBE" w:rsidRDefault="00F7132B" w:rsidP="0039021E">
      <w:pPr>
        <w:pStyle w:val="Numbered"/>
        <w:numPr>
          <w:ilvl w:val="1"/>
          <w:numId w:val="1"/>
        </w:numPr>
        <w:rPr>
          <w:rFonts w:ascii="Arial" w:hAnsi="Arial" w:cs="Arial"/>
          <w:sz w:val="22"/>
        </w:rPr>
      </w:pPr>
      <w:bookmarkStart w:id="3" w:name="_Ref511670698"/>
      <w:r w:rsidRPr="00D62FBE">
        <w:rPr>
          <w:rFonts w:ascii="Arial" w:hAnsi="Arial" w:cs="Arial"/>
          <w:sz w:val="22"/>
        </w:rPr>
        <w:t xml:space="preserve">is </w:t>
      </w:r>
      <w:r w:rsidRPr="00D62FBE">
        <w:rPr>
          <w:rFonts w:ascii="Arial" w:hAnsi="Arial" w:cs="Arial"/>
          <w:i/>
          <w:sz w:val="22"/>
        </w:rPr>
        <w:t>unable</w:t>
      </w:r>
      <w:r w:rsidRPr="00D62FBE">
        <w:rPr>
          <w:rFonts w:ascii="Arial" w:hAnsi="Arial" w:cs="Arial"/>
          <w:sz w:val="22"/>
        </w:rPr>
        <w:t xml:space="preserve"> to identify satisfactory alternative provision which will enable the </w:t>
      </w:r>
      <w:r w:rsidR="0039021E" w:rsidRPr="00D62FBE">
        <w:rPr>
          <w:rFonts w:ascii="Arial" w:hAnsi="Arial" w:cs="Arial"/>
          <w:sz w:val="22"/>
        </w:rPr>
        <w:t xml:space="preserve">registered </w:t>
      </w:r>
      <w:r w:rsidRPr="00D62FBE">
        <w:rPr>
          <w:rFonts w:ascii="Arial" w:hAnsi="Arial" w:cs="Arial"/>
          <w:sz w:val="22"/>
        </w:rPr>
        <w:t>student or students to complete their study and achieve the qualification for which they are enrolled</w:t>
      </w:r>
      <w:r w:rsidR="0039021E" w:rsidRPr="00D62FBE">
        <w:rPr>
          <w:rFonts w:ascii="Arial" w:hAnsi="Arial" w:cs="Arial"/>
          <w:sz w:val="22"/>
        </w:rPr>
        <w:t>; or</w:t>
      </w:r>
      <w:bookmarkEnd w:id="3"/>
    </w:p>
    <w:p w14:paraId="37DB6F81" w14:textId="3C91FB01" w:rsidR="00F7132B" w:rsidRPr="00D62FBE" w:rsidRDefault="0039021E" w:rsidP="0039021E">
      <w:pPr>
        <w:pStyle w:val="Numbered"/>
        <w:numPr>
          <w:ilvl w:val="1"/>
          <w:numId w:val="1"/>
        </w:numPr>
        <w:rPr>
          <w:rFonts w:ascii="Arial" w:hAnsi="Arial" w:cs="Arial"/>
          <w:sz w:val="22"/>
        </w:rPr>
      </w:pPr>
      <w:bookmarkStart w:id="4" w:name="_Ref511670750"/>
      <w:r w:rsidRPr="00D62FBE">
        <w:rPr>
          <w:rFonts w:ascii="Arial" w:hAnsi="Arial" w:cs="Arial"/>
          <w:sz w:val="22"/>
        </w:rPr>
        <w:t xml:space="preserve">is </w:t>
      </w:r>
      <w:r w:rsidRPr="00D62FBE">
        <w:rPr>
          <w:rFonts w:ascii="Arial" w:hAnsi="Arial" w:cs="Arial"/>
          <w:i/>
          <w:sz w:val="22"/>
        </w:rPr>
        <w:t>able</w:t>
      </w:r>
      <w:r w:rsidRPr="00D62FBE">
        <w:rPr>
          <w:rFonts w:ascii="Arial" w:hAnsi="Arial" w:cs="Arial"/>
          <w:sz w:val="22"/>
        </w:rPr>
        <w:t xml:space="preserve"> to identify satisfactory alternative provision which will enable the registered student or students to complete their study and achieve the qualification for which they are enrolled, but this provision is offered by a different provider in a different location</w:t>
      </w:r>
      <w:r w:rsidR="00F7132B" w:rsidRPr="00D62FBE">
        <w:rPr>
          <w:rFonts w:ascii="Arial" w:hAnsi="Arial" w:cs="Arial"/>
          <w:sz w:val="22"/>
        </w:rPr>
        <w:t>.</w:t>
      </w:r>
      <w:bookmarkEnd w:id="4"/>
      <w:r w:rsidR="00F7132B" w:rsidRPr="00D62FBE">
        <w:rPr>
          <w:rFonts w:ascii="Arial" w:hAnsi="Arial" w:cs="Arial"/>
          <w:sz w:val="22"/>
        </w:rPr>
        <w:t xml:space="preserve"> </w:t>
      </w:r>
    </w:p>
    <w:p w14:paraId="785186A5" w14:textId="78701322" w:rsidR="00F7132B" w:rsidRPr="00D62FBE" w:rsidRDefault="00F7132B" w:rsidP="00A612F8">
      <w:pPr>
        <w:pStyle w:val="Numbered"/>
        <w:rPr>
          <w:rFonts w:ascii="Arial" w:hAnsi="Arial" w:cs="Arial"/>
          <w:sz w:val="22"/>
        </w:rPr>
      </w:pPr>
      <w:r w:rsidRPr="00D62FBE">
        <w:rPr>
          <w:rFonts w:ascii="Arial" w:hAnsi="Arial" w:cs="Arial"/>
          <w:sz w:val="22"/>
        </w:rPr>
        <w:t xml:space="preserve">For the avoidance of doubt, </w:t>
      </w:r>
      <w:r w:rsidR="0039021E" w:rsidRPr="00D62FBE">
        <w:rPr>
          <w:rFonts w:ascii="Arial" w:hAnsi="Arial" w:cs="Arial"/>
          <w:sz w:val="22"/>
        </w:rPr>
        <w:t xml:space="preserve">this policy does not cover </w:t>
      </w:r>
      <w:r w:rsidRPr="00D62FBE">
        <w:rPr>
          <w:rFonts w:ascii="Arial" w:hAnsi="Arial" w:cs="Arial"/>
          <w:sz w:val="22"/>
        </w:rPr>
        <w:t xml:space="preserve">any circumstance where a student ceases their study at RADA through their own choice, or has their registration terminated because of academic failure, misconduct, failure to pay tuition fees, or other process </w:t>
      </w:r>
      <w:r w:rsidR="00587EC6" w:rsidRPr="00D62FBE">
        <w:rPr>
          <w:rFonts w:ascii="Arial" w:hAnsi="Arial" w:cs="Arial"/>
          <w:sz w:val="22"/>
        </w:rPr>
        <w:t xml:space="preserve">or reason </w:t>
      </w:r>
      <w:r w:rsidRPr="00D62FBE">
        <w:rPr>
          <w:rFonts w:ascii="Arial" w:hAnsi="Arial" w:cs="Arial"/>
          <w:sz w:val="22"/>
        </w:rPr>
        <w:t>set out in our terms and conditions, academic regulations and policies.</w:t>
      </w:r>
    </w:p>
    <w:p w14:paraId="6AA75F86" w14:textId="77777777" w:rsidR="00AB405F" w:rsidRPr="00D62FBE" w:rsidRDefault="00AB405F" w:rsidP="00AB405F">
      <w:pPr>
        <w:pStyle w:val="Heading1"/>
        <w:rPr>
          <w:rFonts w:ascii="Arial" w:hAnsi="Arial" w:cs="Arial"/>
          <w:sz w:val="24"/>
        </w:rPr>
      </w:pPr>
      <w:r w:rsidRPr="00D62FBE">
        <w:rPr>
          <w:rFonts w:ascii="Arial" w:hAnsi="Arial" w:cs="Arial"/>
          <w:sz w:val="24"/>
        </w:rPr>
        <w:t>Tuition fee refunds</w:t>
      </w:r>
    </w:p>
    <w:p w14:paraId="320893FD" w14:textId="5DEF5DE8" w:rsidR="00AB405F" w:rsidRPr="00D62FBE" w:rsidRDefault="00AB405F" w:rsidP="00A17DC0">
      <w:pPr>
        <w:pStyle w:val="Numbered"/>
        <w:rPr>
          <w:rFonts w:ascii="Arial" w:hAnsi="Arial" w:cs="Arial"/>
          <w:sz w:val="22"/>
        </w:rPr>
      </w:pPr>
      <w:r w:rsidRPr="00D62FBE">
        <w:rPr>
          <w:rFonts w:ascii="Arial" w:hAnsi="Arial" w:cs="Arial"/>
          <w:sz w:val="22"/>
        </w:rPr>
        <w:t xml:space="preserve">In the event of RADA being unable to preserve continuation of study for a student or a group of students </w:t>
      </w:r>
      <w:r w:rsidR="0039021E" w:rsidRPr="00D62FBE">
        <w:rPr>
          <w:rFonts w:ascii="Arial" w:hAnsi="Arial" w:cs="Arial"/>
          <w:sz w:val="22"/>
        </w:rPr>
        <w:t>(</w:t>
      </w:r>
      <w:r w:rsidR="00587EC6" w:rsidRPr="00D62FBE">
        <w:rPr>
          <w:rFonts w:ascii="Arial" w:hAnsi="Arial" w:cs="Arial"/>
          <w:sz w:val="22"/>
        </w:rPr>
        <w:t>that is,</w:t>
      </w:r>
      <w:r w:rsidR="0039021E" w:rsidRPr="00D62FBE">
        <w:rPr>
          <w:rFonts w:ascii="Arial" w:hAnsi="Arial" w:cs="Arial"/>
          <w:sz w:val="22"/>
        </w:rPr>
        <w:t xml:space="preserve"> the situation in paragraph </w:t>
      </w:r>
      <w:r w:rsidR="00E463EA" w:rsidRPr="00D62FBE">
        <w:rPr>
          <w:rFonts w:ascii="Arial" w:hAnsi="Arial" w:cs="Arial"/>
          <w:sz w:val="22"/>
        </w:rPr>
        <w:fldChar w:fldCharType="begin"/>
      </w:r>
      <w:r w:rsidR="00E463EA" w:rsidRPr="00D62FBE">
        <w:rPr>
          <w:rFonts w:ascii="Arial" w:hAnsi="Arial" w:cs="Arial"/>
          <w:sz w:val="22"/>
        </w:rPr>
        <w:instrText xml:space="preserve"> REF _Ref511670698 \w \p </w:instrText>
      </w:r>
      <w:r w:rsidR="00D62FBE" w:rsidRPr="00D62FBE">
        <w:rPr>
          <w:rFonts w:ascii="Arial" w:hAnsi="Arial" w:cs="Arial"/>
          <w:sz w:val="22"/>
        </w:rPr>
        <w:instrText xml:space="preserve"> \* MERGEFORMAT </w:instrText>
      </w:r>
      <w:r w:rsidR="00E463EA" w:rsidRPr="00D62FBE">
        <w:rPr>
          <w:rFonts w:ascii="Arial" w:hAnsi="Arial" w:cs="Arial"/>
          <w:sz w:val="22"/>
        </w:rPr>
        <w:fldChar w:fldCharType="separate"/>
      </w:r>
      <w:r w:rsidR="00173375">
        <w:rPr>
          <w:rFonts w:ascii="Arial" w:hAnsi="Arial" w:cs="Arial"/>
          <w:sz w:val="22"/>
        </w:rPr>
        <w:t>2.a above</w:t>
      </w:r>
      <w:r w:rsidR="00E463EA" w:rsidRPr="00D62FBE">
        <w:rPr>
          <w:rFonts w:ascii="Arial" w:hAnsi="Arial" w:cs="Arial"/>
          <w:sz w:val="22"/>
        </w:rPr>
        <w:fldChar w:fldCharType="end"/>
      </w:r>
      <w:r w:rsidR="0039021E" w:rsidRPr="00D62FBE">
        <w:rPr>
          <w:rFonts w:ascii="Arial" w:hAnsi="Arial" w:cs="Arial"/>
          <w:sz w:val="22"/>
        </w:rPr>
        <w:t xml:space="preserve">) </w:t>
      </w:r>
      <w:r w:rsidRPr="00D62FBE">
        <w:rPr>
          <w:rFonts w:ascii="Arial" w:hAnsi="Arial" w:cs="Arial"/>
          <w:sz w:val="22"/>
        </w:rPr>
        <w:t xml:space="preserve">we will refund the tuition fees which they have paid. </w:t>
      </w:r>
      <w:r w:rsidR="00A17DC0" w:rsidRPr="00D62FBE">
        <w:rPr>
          <w:rFonts w:ascii="Arial" w:hAnsi="Arial" w:cs="Arial"/>
          <w:sz w:val="22"/>
        </w:rPr>
        <w:t>If a student’s fees have been paid to RADA by a third party, RADA will refund the third party unless otherwise agreed.</w:t>
      </w:r>
    </w:p>
    <w:p w14:paraId="0E221180" w14:textId="77777777" w:rsidR="00AB405F" w:rsidRPr="00D62FBE" w:rsidRDefault="00AB405F" w:rsidP="00A612F8">
      <w:pPr>
        <w:pStyle w:val="Numbered"/>
        <w:rPr>
          <w:rFonts w:ascii="Arial" w:hAnsi="Arial" w:cs="Arial"/>
          <w:sz w:val="22"/>
        </w:rPr>
      </w:pPr>
      <w:r w:rsidRPr="00D62FBE">
        <w:rPr>
          <w:rFonts w:ascii="Arial" w:hAnsi="Arial" w:cs="Arial"/>
          <w:sz w:val="22"/>
        </w:rPr>
        <w:t>This applies to:</w:t>
      </w:r>
    </w:p>
    <w:p w14:paraId="4C062501" w14:textId="1AFD1FC1" w:rsidR="00AB405F" w:rsidRPr="00D62FBE" w:rsidRDefault="00AB405F" w:rsidP="00AB405F">
      <w:pPr>
        <w:pStyle w:val="Numbered"/>
        <w:numPr>
          <w:ilvl w:val="1"/>
          <w:numId w:val="1"/>
        </w:numPr>
        <w:rPr>
          <w:rFonts w:ascii="Arial" w:hAnsi="Arial" w:cs="Arial"/>
          <w:sz w:val="22"/>
        </w:rPr>
      </w:pPr>
      <w:r w:rsidRPr="00D62FBE">
        <w:rPr>
          <w:rFonts w:ascii="Arial" w:hAnsi="Arial" w:cs="Arial"/>
          <w:sz w:val="22"/>
        </w:rPr>
        <w:t>Students in receipt of</w:t>
      </w:r>
      <w:r w:rsidR="00587EC6" w:rsidRPr="00D62FBE">
        <w:rPr>
          <w:rFonts w:ascii="Arial" w:hAnsi="Arial" w:cs="Arial"/>
          <w:sz w:val="22"/>
        </w:rPr>
        <w:t xml:space="preserve"> a</w:t>
      </w:r>
      <w:r w:rsidRPr="00D62FBE">
        <w:rPr>
          <w:rFonts w:ascii="Arial" w:hAnsi="Arial" w:cs="Arial"/>
          <w:sz w:val="22"/>
        </w:rPr>
        <w:t xml:space="preserve"> tuition fee loan from the Student Loans Company.</w:t>
      </w:r>
    </w:p>
    <w:p w14:paraId="22C67879" w14:textId="77777777" w:rsidR="00AB405F" w:rsidRPr="00D62FBE" w:rsidRDefault="00AB405F" w:rsidP="00AB405F">
      <w:pPr>
        <w:pStyle w:val="Numbered"/>
        <w:numPr>
          <w:ilvl w:val="1"/>
          <w:numId w:val="1"/>
        </w:numPr>
        <w:rPr>
          <w:rFonts w:ascii="Arial" w:hAnsi="Arial" w:cs="Arial"/>
          <w:sz w:val="22"/>
        </w:rPr>
      </w:pPr>
      <w:r w:rsidRPr="00D62FBE">
        <w:rPr>
          <w:rFonts w:ascii="Arial" w:hAnsi="Arial" w:cs="Arial"/>
          <w:sz w:val="22"/>
        </w:rPr>
        <w:t>Students who pay their own tuition fees.</w:t>
      </w:r>
    </w:p>
    <w:p w14:paraId="33087D05" w14:textId="7BDCFEE6" w:rsidR="00AB405F" w:rsidRPr="00D62FBE" w:rsidRDefault="00AB405F" w:rsidP="00AB405F">
      <w:pPr>
        <w:pStyle w:val="Numbered"/>
        <w:numPr>
          <w:ilvl w:val="1"/>
          <w:numId w:val="1"/>
        </w:numPr>
        <w:rPr>
          <w:rFonts w:ascii="Arial" w:hAnsi="Arial" w:cs="Arial"/>
          <w:sz w:val="22"/>
        </w:rPr>
      </w:pPr>
      <w:r w:rsidRPr="00D62FBE">
        <w:rPr>
          <w:rFonts w:ascii="Arial" w:hAnsi="Arial" w:cs="Arial"/>
          <w:sz w:val="22"/>
        </w:rPr>
        <w:t>Students whose tuition fees are paid by</w:t>
      </w:r>
      <w:r w:rsidR="00A17DC0" w:rsidRPr="00D62FBE">
        <w:rPr>
          <w:rFonts w:ascii="Arial" w:hAnsi="Arial" w:cs="Arial"/>
          <w:sz w:val="22"/>
        </w:rPr>
        <w:t xml:space="preserve"> a third party</w:t>
      </w:r>
      <w:r w:rsidRPr="00D62FBE">
        <w:rPr>
          <w:rFonts w:ascii="Arial" w:hAnsi="Arial" w:cs="Arial"/>
          <w:sz w:val="22"/>
        </w:rPr>
        <w:t>.</w:t>
      </w:r>
    </w:p>
    <w:p w14:paraId="67B0F218" w14:textId="77777777" w:rsidR="00A612F8" w:rsidRPr="00D62FBE" w:rsidRDefault="00AB405F" w:rsidP="00AB405F">
      <w:pPr>
        <w:pStyle w:val="Heading1"/>
        <w:rPr>
          <w:rFonts w:ascii="Arial" w:hAnsi="Arial" w:cs="Arial"/>
          <w:sz w:val="24"/>
        </w:rPr>
      </w:pPr>
      <w:r w:rsidRPr="00D62FBE">
        <w:rPr>
          <w:rFonts w:ascii="Arial" w:hAnsi="Arial" w:cs="Arial"/>
          <w:sz w:val="24"/>
        </w:rPr>
        <w:t>Changed location</w:t>
      </w:r>
    </w:p>
    <w:p w14:paraId="0A44754A" w14:textId="302C393D" w:rsidR="00AB405F" w:rsidRPr="00D62FBE" w:rsidRDefault="00AB405F" w:rsidP="00AB405F">
      <w:pPr>
        <w:pStyle w:val="Numbered"/>
        <w:rPr>
          <w:rFonts w:ascii="Arial" w:hAnsi="Arial" w:cs="Arial"/>
          <w:sz w:val="22"/>
        </w:rPr>
      </w:pPr>
      <w:r w:rsidRPr="00D62FBE">
        <w:rPr>
          <w:rFonts w:ascii="Arial" w:hAnsi="Arial" w:cs="Arial"/>
          <w:sz w:val="22"/>
        </w:rPr>
        <w:t>In the event that RADA has to move the location of delivery of our programmes out of central London (defined as a location within Transport for London’</w:t>
      </w:r>
      <w:r w:rsidR="00F7132B" w:rsidRPr="00D62FBE">
        <w:rPr>
          <w:rFonts w:ascii="Arial" w:hAnsi="Arial" w:cs="Arial"/>
          <w:sz w:val="22"/>
        </w:rPr>
        <w:t>s Zone</w:t>
      </w:r>
      <w:r w:rsidR="00587EC6" w:rsidRPr="00D62FBE">
        <w:rPr>
          <w:rFonts w:ascii="Arial" w:hAnsi="Arial" w:cs="Arial"/>
          <w:sz w:val="22"/>
        </w:rPr>
        <w:t>s</w:t>
      </w:r>
      <w:r w:rsidR="00F7132B" w:rsidRPr="00D62FBE">
        <w:rPr>
          <w:rFonts w:ascii="Arial" w:hAnsi="Arial" w:cs="Arial"/>
          <w:sz w:val="22"/>
        </w:rPr>
        <w:t xml:space="preserve"> 1</w:t>
      </w:r>
      <w:r w:rsidR="00FD4CAA" w:rsidRPr="00D62FBE">
        <w:rPr>
          <w:rFonts w:ascii="Arial" w:hAnsi="Arial" w:cs="Arial"/>
          <w:sz w:val="22"/>
        </w:rPr>
        <w:t>-2</w:t>
      </w:r>
      <w:r w:rsidR="00F7132B" w:rsidRPr="00D62FBE">
        <w:rPr>
          <w:rFonts w:ascii="Arial" w:hAnsi="Arial" w:cs="Arial"/>
          <w:sz w:val="22"/>
        </w:rPr>
        <w:t>) we will, during the remainder of the academic year in which the move occurred, arrange suitable transport or pay students’ additional travel costs from their term</w:t>
      </w:r>
      <w:r w:rsidR="00BD7A9C">
        <w:rPr>
          <w:rFonts w:ascii="Arial" w:hAnsi="Arial" w:cs="Arial"/>
          <w:sz w:val="22"/>
        </w:rPr>
        <w:t>-</w:t>
      </w:r>
      <w:r w:rsidR="00F7132B" w:rsidRPr="00D62FBE">
        <w:rPr>
          <w:rFonts w:ascii="Arial" w:hAnsi="Arial" w:cs="Arial"/>
          <w:sz w:val="22"/>
        </w:rPr>
        <w:t>time accommodation.</w:t>
      </w:r>
    </w:p>
    <w:p w14:paraId="7F5440F1" w14:textId="77777777" w:rsidR="00F7132B" w:rsidRPr="00D62FBE" w:rsidRDefault="00F7132B" w:rsidP="00F7132B">
      <w:pPr>
        <w:pStyle w:val="Heading1"/>
        <w:rPr>
          <w:rFonts w:ascii="Arial" w:hAnsi="Arial" w:cs="Arial"/>
          <w:sz w:val="24"/>
        </w:rPr>
      </w:pPr>
      <w:r w:rsidRPr="00D62FBE">
        <w:rPr>
          <w:rFonts w:ascii="Arial" w:hAnsi="Arial" w:cs="Arial"/>
          <w:sz w:val="24"/>
        </w:rPr>
        <w:lastRenderedPageBreak/>
        <w:t>Student bursaries</w:t>
      </w:r>
    </w:p>
    <w:p w14:paraId="5E4C4C12" w14:textId="6A3C8CFB" w:rsidR="00F7132B" w:rsidRPr="00D62FBE" w:rsidRDefault="00F7132B" w:rsidP="00AB405F">
      <w:pPr>
        <w:pStyle w:val="Numbered"/>
        <w:rPr>
          <w:rFonts w:ascii="Arial" w:hAnsi="Arial" w:cs="Arial"/>
          <w:sz w:val="22"/>
        </w:rPr>
      </w:pPr>
      <w:r w:rsidRPr="00D62FBE">
        <w:rPr>
          <w:rFonts w:ascii="Arial" w:hAnsi="Arial" w:cs="Arial"/>
          <w:sz w:val="22"/>
        </w:rPr>
        <w:t>In the event of RADA being unable to deliver programmes to a student or group of students, who transfer to another provider to complete their study</w:t>
      </w:r>
      <w:r w:rsidR="0039021E" w:rsidRPr="00D62FBE">
        <w:rPr>
          <w:rFonts w:ascii="Arial" w:hAnsi="Arial" w:cs="Arial"/>
          <w:sz w:val="22"/>
        </w:rPr>
        <w:t xml:space="preserve"> (</w:t>
      </w:r>
      <w:r w:rsidR="00587EC6" w:rsidRPr="00D62FBE">
        <w:rPr>
          <w:rFonts w:ascii="Arial" w:hAnsi="Arial" w:cs="Arial"/>
          <w:sz w:val="22"/>
        </w:rPr>
        <w:t>that is,</w:t>
      </w:r>
      <w:r w:rsidR="0039021E" w:rsidRPr="00D62FBE">
        <w:rPr>
          <w:rFonts w:ascii="Arial" w:hAnsi="Arial" w:cs="Arial"/>
          <w:sz w:val="22"/>
        </w:rPr>
        <w:t xml:space="preserve"> the situation in paragraph </w:t>
      </w:r>
      <w:r w:rsidR="00E463EA" w:rsidRPr="00D62FBE">
        <w:rPr>
          <w:rFonts w:ascii="Arial" w:hAnsi="Arial" w:cs="Arial"/>
          <w:sz w:val="22"/>
        </w:rPr>
        <w:fldChar w:fldCharType="begin"/>
      </w:r>
      <w:r w:rsidR="00E463EA" w:rsidRPr="00D62FBE">
        <w:rPr>
          <w:rFonts w:ascii="Arial" w:hAnsi="Arial" w:cs="Arial"/>
          <w:sz w:val="22"/>
        </w:rPr>
        <w:instrText xml:space="preserve"> REF _Ref511670750 \w \p </w:instrText>
      </w:r>
      <w:r w:rsidR="00D62FBE" w:rsidRPr="00D62FBE">
        <w:rPr>
          <w:rFonts w:ascii="Arial" w:hAnsi="Arial" w:cs="Arial"/>
          <w:sz w:val="22"/>
        </w:rPr>
        <w:instrText xml:space="preserve"> \* MERGEFORMAT </w:instrText>
      </w:r>
      <w:r w:rsidR="00E463EA" w:rsidRPr="00D62FBE">
        <w:rPr>
          <w:rFonts w:ascii="Arial" w:hAnsi="Arial" w:cs="Arial"/>
          <w:sz w:val="22"/>
        </w:rPr>
        <w:fldChar w:fldCharType="separate"/>
      </w:r>
      <w:r w:rsidR="00173375">
        <w:rPr>
          <w:rFonts w:ascii="Arial" w:hAnsi="Arial" w:cs="Arial"/>
          <w:sz w:val="22"/>
        </w:rPr>
        <w:t>2.b above</w:t>
      </w:r>
      <w:r w:rsidR="00E463EA" w:rsidRPr="00D62FBE">
        <w:rPr>
          <w:rFonts w:ascii="Arial" w:hAnsi="Arial" w:cs="Arial"/>
          <w:sz w:val="22"/>
        </w:rPr>
        <w:fldChar w:fldCharType="end"/>
      </w:r>
      <w:r w:rsidR="0039021E" w:rsidRPr="00D62FBE">
        <w:rPr>
          <w:rFonts w:ascii="Arial" w:hAnsi="Arial" w:cs="Arial"/>
          <w:sz w:val="22"/>
        </w:rPr>
        <w:t>)</w:t>
      </w:r>
      <w:r w:rsidRPr="00D62FBE">
        <w:rPr>
          <w:rFonts w:ascii="Arial" w:hAnsi="Arial" w:cs="Arial"/>
          <w:sz w:val="22"/>
        </w:rPr>
        <w:t>,</w:t>
      </w:r>
      <w:r w:rsidR="00A17DC0" w:rsidRPr="00D62FBE">
        <w:rPr>
          <w:rFonts w:ascii="Arial" w:hAnsi="Arial" w:cs="Arial"/>
          <w:sz w:val="22"/>
        </w:rPr>
        <w:t xml:space="preserve"> and subject to the terms of the underlying donation or bequest,</w:t>
      </w:r>
      <w:r w:rsidRPr="00D62FBE">
        <w:rPr>
          <w:rFonts w:ascii="Arial" w:hAnsi="Arial" w:cs="Arial"/>
          <w:sz w:val="22"/>
        </w:rPr>
        <w:t xml:space="preserve"> we will honour bursaries or scholarships in line with our original agreement.</w:t>
      </w:r>
    </w:p>
    <w:p w14:paraId="300F2562" w14:textId="09B8B2B1" w:rsidR="00F7132B" w:rsidRPr="00D62FBE" w:rsidRDefault="00F7132B" w:rsidP="00AB405F">
      <w:pPr>
        <w:pStyle w:val="Numbered"/>
        <w:rPr>
          <w:rFonts w:ascii="Arial" w:hAnsi="Arial" w:cs="Arial"/>
          <w:sz w:val="22"/>
        </w:rPr>
      </w:pPr>
      <w:r w:rsidRPr="00D62FBE">
        <w:rPr>
          <w:rFonts w:ascii="Arial" w:hAnsi="Arial" w:cs="Arial"/>
          <w:sz w:val="22"/>
        </w:rPr>
        <w:t xml:space="preserve">Again for the avoidance of doubt, this does not include any circumstance where a student transfers from study at RADA through their own choice, or has their registration at RADA terminated because of academic failure, misconduct, failure to pay tuition fees, or other process or reason </w:t>
      </w:r>
      <w:r w:rsidR="00587EC6" w:rsidRPr="00D62FBE">
        <w:rPr>
          <w:rFonts w:ascii="Arial" w:hAnsi="Arial" w:cs="Arial"/>
          <w:sz w:val="22"/>
        </w:rPr>
        <w:t xml:space="preserve">set </w:t>
      </w:r>
      <w:r w:rsidRPr="00D62FBE">
        <w:rPr>
          <w:rFonts w:ascii="Arial" w:hAnsi="Arial" w:cs="Arial"/>
          <w:sz w:val="22"/>
        </w:rPr>
        <w:t>out in our terms and conditions, academic regulations and policies, and then resumes study elsewhere.</w:t>
      </w:r>
    </w:p>
    <w:p w14:paraId="5019E815" w14:textId="77777777" w:rsidR="00F7132B" w:rsidRPr="00D62FBE" w:rsidRDefault="00F7132B" w:rsidP="00F7132B">
      <w:pPr>
        <w:pStyle w:val="Heading1"/>
        <w:rPr>
          <w:rFonts w:ascii="Arial" w:hAnsi="Arial" w:cs="Arial"/>
          <w:sz w:val="24"/>
        </w:rPr>
      </w:pPr>
      <w:r w:rsidRPr="00D62FBE">
        <w:rPr>
          <w:rFonts w:ascii="Arial" w:hAnsi="Arial" w:cs="Arial"/>
          <w:sz w:val="24"/>
        </w:rPr>
        <w:t>Compensation</w:t>
      </w:r>
      <w:r w:rsidR="00AE20BE" w:rsidRPr="00D62FBE">
        <w:rPr>
          <w:rFonts w:ascii="Arial" w:hAnsi="Arial" w:cs="Arial"/>
          <w:sz w:val="24"/>
        </w:rPr>
        <w:t xml:space="preserve"> for maintenance costs and lost time</w:t>
      </w:r>
    </w:p>
    <w:p w14:paraId="0CE95269" w14:textId="0E51380F" w:rsidR="00AE20BE" w:rsidRPr="00D62FBE" w:rsidRDefault="00AE20BE" w:rsidP="00AE20BE">
      <w:pPr>
        <w:pStyle w:val="Numbered"/>
        <w:rPr>
          <w:rFonts w:ascii="Arial" w:hAnsi="Arial" w:cs="Arial"/>
          <w:sz w:val="22"/>
        </w:rPr>
      </w:pPr>
      <w:r w:rsidRPr="00D62FBE">
        <w:rPr>
          <w:rFonts w:ascii="Arial" w:hAnsi="Arial" w:cs="Arial"/>
          <w:sz w:val="22"/>
        </w:rPr>
        <w:t xml:space="preserve">In the event that RADA is </w:t>
      </w:r>
      <w:r w:rsidR="00F7132B" w:rsidRPr="00D62FBE">
        <w:rPr>
          <w:rFonts w:ascii="Arial" w:hAnsi="Arial" w:cs="Arial"/>
          <w:sz w:val="22"/>
        </w:rPr>
        <w:t>unable to preserve continuation of study</w:t>
      </w:r>
      <w:r w:rsidR="0039021E" w:rsidRPr="00D62FBE">
        <w:rPr>
          <w:rFonts w:ascii="Arial" w:hAnsi="Arial" w:cs="Arial"/>
          <w:sz w:val="22"/>
        </w:rPr>
        <w:t xml:space="preserve"> (</w:t>
      </w:r>
      <w:r w:rsidR="00587EC6" w:rsidRPr="00D62FBE">
        <w:rPr>
          <w:rFonts w:ascii="Arial" w:hAnsi="Arial" w:cs="Arial"/>
          <w:sz w:val="22"/>
        </w:rPr>
        <w:t>that is,</w:t>
      </w:r>
      <w:r w:rsidR="0039021E" w:rsidRPr="00D62FBE">
        <w:rPr>
          <w:rFonts w:ascii="Arial" w:hAnsi="Arial" w:cs="Arial"/>
          <w:sz w:val="22"/>
        </w:rPr>
        <w:t xml:space="preserve"> the situation in paragraph </w:t>
      </w:r>
      <w:r w:rsidR="00173375" w:rsidRPr="00D62FBE">
        <w:rPr>
          <w:rFonts w:ascii="Arial" w:hAnsi="Arial" w:cs="Arial"/>
          <w:sz w:val="22"/>
        </w:rPr>
        <w:fldChar w:fldCharType="begin"/>
      </w:r>
      <w:r w:rsidR="00173375" w:rsidRPr="00D62FBE">
        <w:rPr>
          <w:rFonts w:ascii="Arial" w:hAnsi="Arial" w:cs="Arial"/>
          <w:sz w:val="22"/>
        </w:rPr>
        <w:instrText xml:space="preserve"> REF _Ref511670698 \w \p </w:instrText>
      </w:r>
      <w:r w:rsidR="00D62FBE" w:rsidRPr="00D62FBE">
        <w:rPr>
          <w:rFonts w:ascii="Arial" w:hAnsi="Arial" w:cs="Arial"/>
          <w:sz w:val="22"/>
        </w:rPr>
        <w:instrText xml:space="preserve"> \* MERGEFORMAT </w:instrText>
      </w:r>
      <w:r w:rsidR="00173375" w:rsidRPr="00D62FBE">
        <w:rPr>
          <w:rFonts w:ascii="Arial" w:hAnsi="Arial" w:cs="Arial"/>
          <w:sz w:val="22"/>
        </w:rPr>
        <w:fldChar w:fldCharType="separate"/>
      </w:r>
      <w:r w:rsidR="00173375">
        <w:rPr>
          <w:rFonts w:ascii="Arial" w:hAnsi="Arial" w:cs="Arial"/>
          <w:sz w:val="22"/>
        </w:rPr>
        <w:t>2.a above</w:t>
      </w:r>
      <w:r w:rsidR="00173375" w:rsidRPr="00D62FBE">
        <w:rPr>
          <w:rFonts w:ascii="Arial" w:hAnsi="Arial" w:cs="Arial"/>
          <w:sz w:val="22"/>
        </w:rPr>
        <w:fldChar w:fldCharType="end"/>
      </w:r>
      <w:r w:rsidR="0039021E" w:rsidRPr="00D62FBE">
        <w:rPr>
          <w:rFonts w:ascii="Arial" w:hAnsi="Arial" w:cs="Arial"/>
          <w:sz w:val="22"/>
        </w:rPr>
        <w:t>)</w:t>
      </w:r>
      <w:r w:rsidR="00F7132B" w:rsidRPr="00D62FBE">
        <w:rPr>
          <w:rFonts w:ascii="Arial" w:hAnsi="Arial" w:cs="Arial"/>
          <w:sz w:val="22"/>
        </w:rPr>
        <w:t xml:space="preserve">, we </w:t>
      </w:r>
      <w:r w:rsidRPr="00D62FBE">
        <w:rPr>
          <w:rFonts w:ascii="Arial" w:hAnsi="Arial" w:cs="Arial"/>
          <w:sz w:val="22"/>
        </w:rPr>
        <w:t xml:space="preserve">recognise that students will not benefit from the formal qualification for which they are studying. Nevertheless, they will have gained from the development of skills and knowledge through their study. Our approach to compensation for maintenance costs and lost time is not therefore to compensate actual costs incurred, or income foregone. </w:t>
      </w:r>
    </w:p>
    <w:p w14:paraId="6E0B4562" w14:textId="15D56066" w:rsidR="00F7132B" w:rsidRPr="00D62FBE" w:rsidRDefault="00AE20BE" w:rsidP="00AE20BE">
      <w:pPr>
        <w:pStyle w:val="Numbered"/>
        <w:rPr>
          <w:rFonts w:ascii="Arial" w:hAnsi="Arial" w:cs="Arial"/>
          <w:sz w:val="22"/>
        </w:rPr>
      </w:pPr>
      <w:r w:rsidRPr="00D62FBE">
        <w:rPr>
          <w:rFonts w:ascii="Arial" w:hAnsi="Arial" w:cs="Arial"/>
          <w:sz w:val="22"/>
        </w:rPr>
        <w:t xml:space="preserve">We </w:t>
      </w:r>
      <w:r w:rsidR="00F7132B" w:rsidRPr="00D62FBE">
        <w:rPr>
          <w:rFonts w:ascii="Arial" w:hAnsi="Arial" w:cs="Arial"/>
          <w:sz w:val="22"/>
        </w:rPr>
        <w:t xml:space="preserve">will </w:t>
      </w:r>
      <w:r w:rsidR="00CF1808" w:rsidRPr="00D62FBE">
        <w:rPr>
          <w:rFonts w:ascii="Arial" w:hAnsi="Arial" w:cs="Arial"/>
          <w:sz w:val="22"/>
        </w:rPr>
        <w:t xml:space="preserve">consider </w:t>
      </w:r>
      <w:r w:rsidRPr="00D62FBE">
        <w:rPr>
          <w:rFonts w:ascii="Arial" w:hAnsi="Arial" w:cs="Arial"/>
          <w:sz w:val="22"/>
        </w:rPr>
        <w:t>compensat</w:t>
      </w:r>
      <w:r w:rsidR="00CF1808" w:rsidRPr="00D62FBE">
        <w:rPr>
          <w:rFonts w:ascii="Arial" w:hAnsi="Arial" w:cs="Arial"/>
          <w:sz w:val="22"/>
        </w:rPr>
        <w:t>ion f</w:t>
      </w:r>
      <w:r w:rsidR="00587EC6" w:rsidRPr="00D62FBE">
        <w:rPr>
          <w:rFonts w:ascii="Arial" w:hAnsi="Arial" w:cs="Arial"/>
          <w:sz w:val="22"/>
        </w:rPr>
        <w:t>or</w:t>
      </w:r>
      <w:r w:rsidR="00CF1808" w:rsidRPr="00D62FBE">
        <w:rPr>
          <w:rFonts w:ascii="Arial" w:hAnsi="Arial" w:cs="Arial"/>
          <w:sz w:val="22"/>
        </w:rPr>
        <w:t xml:space="preserve"> </w:t>
      </w:r>
      <w:r w:rsidRPr="00D62FBE">
        <w:rPr>
          <w:rFonts w:ascii="Arial" w:hAnsi="Arial" w:cs="Arial"/>
          <w:sz w:val="22"/>
        </w:rPr>
        <w:t xml:space="preserve">maintenance costs </w:t>
      </w:r>
      <w:r w:rsidR="00CF1808" w:rsidRPr="00D62FBE">
        <w:rPr>
          <w:rFonts w:ascii="Arial" w:hAnsi="Arial" w:cs="Arial"/>
          <w:sz w:val="22"/>
        </w:rPr>
        <w:t xml:space="preserve">on a case-by-case basis, to a maximum of </w:t>
      </w:r>
      <w:r w:rsidRPr="00D62FBE">
        <w:rPr>
          <w:rFonts w:ascii="Arial" w:hAnsi="Arial" w:cs="Arial"/>
          <w:sz w:val="22"/>
        </w:rPr>
        <w:t>£500 per calendar month during term time.</w:t>
      </w:r>
    </w:p>
    <w:p w14:paraId="4171A621" w14:textId="29A17A9F" w:rsidR="00AE20BE" w:rsidRPr="00D62FBE" w:rsidRDefault="00AE20BE" w:rsidP="00AB405F">
      <w:pPr>
        <w:pStyle w:val="Numbered"/>
        <w:rPr>
          <w:rFonts w:ascii="Arial" w:hAnsi="Arial" w:cs="Arial"/>
          <w:sz w:val="22"/>
        </w:rPr>
      </w:pPr>
      <w:r w:rsidRPr="00D62FBE">
        <w:rPr>
          <w:rFonts w:ascii="Arial" w:hAnsi="Arial" w:cs="Arial"/>
          <w:sz w:val="22"/>
        </w:rPr>
        <w:t>We will not compensate students for lost time during their stud</w:t>
      </w:r>
      <w:r w:rsidR="00BD7A9C">
        <w:rPr>
          <w:rFonts w:ascii="Arial" w:hAnsi="Arial" w:cs="Arial"/>
          <w:sz w:val="22"/>
        </w:rPr>
        <w:t>ies</w:t>
      </w:r>
      <w:r w:rsidRPr="00D62FBE">
        <w:rPr>
          <w:rFonts w:ascii="Arial" w:hAnsi="Arial" w:cs="Arial"/>
          <w:sz w:val="22"/>
        </w:rPr>
        <w:t>.</w:t>
      </w:r>
    </w:p>
    <w:p w14:paraId="3FFF1E9F" w14:textId="77777777" w:rsidR="00AE20BE" w:rsidRPr="00D62FBE" w:rsidRDefault="00AE20BE" w:rsidP="00AE20BE">
      <w:pPr>
        <w:pStyle w:val="Heading1"/>
        <w:rPr>
          <w:rFonts w:ascii="Arial" w:hAnsi="Arial" w:cs="Arial"/>
          <w:sz w:val="24"/>
        </w:rPr>
      </w:pPr>
      <w:r w:rsidRPr="00D62FBE">
        <w:rPr>
          <w:rFonts w:ascii="Arial" w:hAnsi="Arial" w:cs="Arial"/>
          <w:sz w:val="24"/>
        </w:rPr>
        <w:t>Compensation for maintenance costs and lost time where students have to switch to a different provider</w:t>
      </w:r>
    </w:p>
    <w:p w14:paraId="3946A369" w14:textId="2248878D" w:rsidR="00AE20BE" w:rsidRPr="00D62FBE" w:rsidRDefault="00AE20BE" w:rsidP="00AB405F">
      <w:pPr>
        <w:pStyle w:val="Numbered"/>
        <w:rPr>
          <w:rFonts w:ascii="Arial" w:hAnsi="Arial" w:cs="Arial"/>
          <w:sz w:val="22"/>
        </w:rPr>
      </w:pPr>
      <w:r w:rsidRPr="00D62FBE">
        <w:rPr>
          <w:rFonts w:ascii="Arial" w:hAnsi="Arial" w:cs="Arial"/>
          <w:sz w:val="22"/>
        </w:rPr>
        <w:t xml:space="preserve">In the event that </w:t>
      </w:r>
      <w:r w:rsidR="00E97DA9" w:rsidRPr="00D62FBE">
        <w:rPr>
          <w:rFonts w:ascii="Arial" w:hAnsi="Arial" w:cs="Arial"/>
          <w:sz w:val="22"/>
        </w:rPr>
        <w:t>a student or group of students transfers to another provider to complete their studies, because RADA is unable to continue to provide the course for which they had enrolled</w:t>
      </w:r>
      <w:r w:rsidR="0039021E" w:rsidRPr="00D62FBE">
        <w:rPr>
          <w:rFonts w:ascii="Arial" w:hAnsi="Arial" w:cs="Arial"/>
          <w:sz w:val="22"/>
        </w:rPr>
        <w:t xml:space="preserve"> (</w:t>
      </w:r>
      <w:r w:rsidR="00587EC6" w:rsidRPr="00D62FBE">
        <w:rPr>
          <w:rFonts w:ascii="Arial" w:hAnsi="Arial" w:cs="Arial"/>
          <w:sz w:val="22"/>
        </w:rPr>
        <w:t>that is,</w:t>
      </w:r>
      <w:r w:rsidR="0039021E" w:rsidRPr="00D62FBE">
        <w:rPr>
          <w:rFonts w:ascii="Arial" w:hAnsi="Arial" w:cs="Arial"/>
          <w:sz w:val="22"/>
        </w:rPr>
        <w:t xml:space="preserve"> the situation in paragraph </w:t>
      </w:r>
      <w:r w:rsidR="00173375" w:rsidRPr="00D62FBE">
        <w:rPr>
          <w:rFonts w:ascii="Arial" w:hAnsi="Arial" w:cs="Arial"/>
          <w:sz w:val="22"/>
        </w:rPr>
        <w:fldChar w:fldCharType="begin"/>
      </w:r>
      <w:r w:rsidR="00173375" w:rsidRPr="00D62FBE">
        <w:rPr>
          <w:rFonts w:ascii="Arial" w:hAnsi="Arial" w:cs="Arial"/>
          <w:sz w:val="22"/>
        </w:rPr>
        <w:instrText xml:space="preserve"> REF _Ref511670750 \w \p </w:instrText>
      </w:r>
      <w:r w:rsidR="00D62FBE" w:rsidRPr="00D62FBE">
        <w:rPr>
          <w:rFonts w:ascii="Arial" w:hAnsi="Arial" w:cs="Arial"/>
          <w:sz w:val="22"/>
        </w:rPr>
        <w:instrText xml:space="preserve"> \* MERGEFORMAT </w:instrText>
      </w:r>
      <w:r w:rsidR="00173375" w:rsidRPr="00D62FBE">
        <w:rPr>
          <w:rFonts w:ascii="Arial" w:hAnsi="Arial" w:cs="Arial"/>
          <w:sz w:val="22"/>
        </w:rPr>
        <w:fldChar w:fldCharType="separate"/>
      </w:r>
      <w:r w:rsidR="00173375">
        <w:rPr>
          <w:rFonts w:ascii="Arial" w:hAnsi="Arial" w:cs="Arial"/>
          <w:sz w:val="22"/>
        </w:rPr>
        <w:t>2</w:t>
      </w:r>
      <w:bookmarkStart w:id="5" w:name="_GoBack"/>
      <w:bookmarkEnd w:id="5"/>
      <w:r w:rsidR="00173375">
        <w:rPr>
          <w:rFonts w:ascii="Arial" w:hAnsi="Arial" w:cs="Arial"/>
          <w:sz w:val="22"/>
        </w:rPr>
        <w:t>.b above</w:t>
      </w:r>
      <w:r w:rsidR="00173375" w:rsidRPr="00D62FBE">
        <w:rPr>
          <w:rFonts w:ascii="Arial" w:hAnsi="Arial" w:cs="Arial"/>
          <w:sz w:val="22"/>
        </w:rPr>
        <w:fldChar w:fldCharType="end"/>
      </w:r>
      <w:r w:rsidR="0039021E" w:rsidRPr="00D62FBE">
        <w:rPr>
          <w:rFonts w:ascii="Arial" w:hAnsi="Arial" w:cs="Arial"/>
          <w:sz w:val="22"/>
        </w:rPr>
        <w:t>)</w:t>
      </w:r>
      <w:r w:rsidR="00E97DA9" w:rsidRPr="00D62FBE">
        <w:rPr>
          <w:rFonts w:ascii="Arial" w:hAnsi="Arial" w:cs="Arial"/>
          <w:sz w:val="22"/>
        </w:rPr>
        <w:t xml:space="preserve">, RADA will provide compensation for any additional travel or living costs incurred during the academic year in which the transfer took place, </w:t>
      </w:r>
      <w:r w:rsidR="00A6410C" w:rsidRPr="00D62FBE">
        <w:rPr>
          <w:rFonts w:ascii="Arial" w:hAnsi="Arial" w:cs="Arial"/>
          <w:sz w:val="22"/>
        </w:rPr>
        <w:t xml:space="preserve">and any additional course costs over those which would have been incurred through study at RADA, </w:t>
      </w:r>
      <w:r w:rsidR="00E97DA9" w:rsidRPr="00D62FBE">
        <w:rPr>
          <w:rFonts w:ascii="Arial" w:hAnsi="Arial" w:cs="Arial"/>
          <w:sz w:val="22"/>
        </w:rPr>
        <w:t>but will not otherwise provide compensation.</w:t>
      </w:r>
    </w:p>
    <w:p w14:paraId="65F7D154" w14:textId="25D906C4" w:rsidR="00E97DA9" w:rsidRPr="00D62FBE" w:rsidRDefault="00E97DA9" w:rsidP="00AB405F">
      <w:pPr>
        <w:pStyle w:val="Numbered"/>
        <w:rPr>
          <w:rFonts w:ascii="Arial" w:hAnsi="Arial" w:cs="Arial"/>
          <w:sz w:val="22"/>
        </w:rPr>
      </w:pPr>
      <w:r w:rsidRPr="00D62FBE">
        <w:rPr>
          <w:rFonts w:ascii="Arial" w:hAnsi="Arial" w:cs="Arial"/>
          <w:sz w:val="22"/>
        </w:rPr>
        <w:t xml:space="preserve">Again for the avoidance of doubt, this does not include any circumstance where a student transfers from study at RADA through their own choice, or has their registration at RADA terminated because of academic failure, misconduct, failure to pay tuition fees, or other process or reason </w:t>
      </w:r>
      <w:r w:rsidR="00587EC6" w:rsidRPr="00D62FBE">
        <w:rPr>
          <w:rFonts w:ascii="Arial" w:hAnsi="Arial" w:cs="Arial"/>
          <w:sz w:val="22"/>
        </w:rPr>
        <w:t xml:space="preserve">set </w:t>
      </w:r>
      <w:r w:rsidRPr="00D62FBE">
        <w:rPr>
          <w:rFonts w:ascii="Arial" w:hAnsi="Arial" w:cs="Arial"/>
          <w:sz w:val="22"/>
        </w:rPr>
        <w:t>out in our terms and conditions, academic regulations and policies, and then resumes study elsewhere.</w:t>
      </w:r>
    </w:p>
    <w:p w14:paraId="5653C3B6" w14:textId="03BC1931" w:rsidR="0039021E" w:rsidRPr="00D62FBE" w:rsidRDefault="0039021E" w:rsidP="0039021E">
      <w:pPr>
        <w:pStyle w:val="Heading1"/>
        <w:rPr>
          <w:rFonts w:ascii="Arial" w:hAnsi="Arial" w:cs="Arial"/>
          <w:sz w:val="24"/>
        </w:rPr>
      </w:pPr>
      <w:r w:rsidRPr="00D62FBE">
        <w:rPr>
          <w:rFonts w:ascii="Arial" w:hAnsi="Arial" w:cs="Arial"/>
          <w:sz w:val="24"/>
        </w:rPr>
        <w:t>Transfer</w:t>
      </w:r>
    </w:p>
    <w:p w14:paraId="6C33366E" w14:textId="77777777" w:rsidR="0039021E" w:rsidRPr="00D62FBE" w:rsidRDefault="0039021E" w:rsidP="00AB405F">
      <w:pPr>
        <w:pStyle w:val="Numbered"/>
        <w:rPr>
          <w:rFonts w:ascii="Arial" w:hAnsi="Arial" w:cs="Arial"/>
          <w:sz w:val="22"/>
        </w:rPr>
      </w:pPr>
      <w:r w:rsidRPr="00D62FBE">
        <w:rPr>
          <w:rFonts w:ascii="Arial" w:hAnsi="Arial" w:cs="Arial"/>
          <w:sz w:val="22"/>
        </w:rPr>
        <w:t>In the event that a student or group of students transfers to another provider to complete their studies, because RADA is unable to continue to provide the course for which they had enrolled (</w:t>
      </w:r>
      <w:r w:rsidR="00587EC6" w:rsidRPr="00D62FBE">
        <w:rPr>
          <w:rFonts w:ascii="Arial" w:hAnsi="Arial" w:cs="Arial"/>
          <w:sz w:val="22"/>
        </w:rPr>
        <w:t>that is,</w:t>
      </w:r>
      <w:r w:rsidRPr="00D62FBE">
        <w:rPr>
          <w:rFonts w:ascii="Arial" w:hAnsi="Arial" w:cs="Arial"/>
          <w:sz w:val="22"/>
        </w:rPr>
        <w:t xml:space="preserve"> the situation in paragraph </w:t>
      </w:r>
      <w:r w:rsidR="00173375" w:rsidRPr="00D62FBE">
        <w:rPr>
          <w:rFonts w:ascii="Arial" w:hAnsi="Arial" w:cs="Arial"/>
          <w:sz w:val="22"/>
        </w:rPr>
        <w:fldChar w:fldCharType="begin"/>
      </w:r>
      <w:r w:rsidR="00173375" w:rsidRPr="00D62FBE">
        <w:rPr>
          <w:rFonts w:ascii="Arial" w:hAnsi="Arial" w:cs="Arial"/>
          <w:sz w:val="22"/>
        </w:rPr>
        <w:instrText xml:space="preserve"> REF _Ref511670750 \w \p </w:instrText>
      </w:r>
      <w:r w:rsidR="00D62FBE" w:rsidRPr="00D62FBE">
        <w:rPr>
          <w:rFonts w:ascii="Arial" w:hAnsi="Arial" w:cs="Arial"/>
          <w:sz w:val="22"/>
        </w:rPr>
        <w:instrText xml:space="preserve"> \* MERGEFORMAT </w:instrText>
      </w:r>
      <w:r w:rsidR="00173375" w:rsidRPr="00D62FBE">
        <w:rPr>
          <w:rFonts w:ascii="Arial" w:hAnsi="Arial" w:cs="Arial"/>
          <w:sz w:val="22"/>
        </w:rPr>
        <w:fldChar w:fldCharType="separate"/>
      </w:r>
      <w:r w:rsidR="00173375">
        <w:rPr>
          <w:rFonts w:ascii="Arial" w:hAnsi="Arial" w:cs="Arial"/>
          <w:sz w:val="22"/>
        </w:rPr>
        <w:t>2.b above</w:t>
      </w:r>
      <w:r w:rsidR="00173375" w:rsidRPr="00D62FBE">
        <w:rPr>
          <w:rFonts w:ascii="Arial" w:hAnsi="Arial" w:cs="Arial"/>
          <w:sz w:val="22"/>
        </w:rPr>
        <w:fldChar w:fldCharType="end"/>
      </w:r>
      <w:r w:rsidRPr="00D62FBE">
        <w:rPr>
          <w:rFonts w:ascii="Arial" w:hAnsi="Arial" w:cs="Arial"/>
          <w:sz w:val="22"/>
        </w:rPr>
        <w:t xml:space="preserve">), RADA will liaise with the new provider to seek to arrange as much continuity of experience as is </w:t>
      </w:r>
      <w:r w:rsidRPr="00D62FBE">
        <w:rPr>
          <w:rFonts w:ascii="Arial" w:hAnsi="Arial" w:cs="Arial"/>
          <w:sz w:val="22"/>
        </w:rPr>
        <w:lastRenderedPageBreak/>
        <w:t>possible. This will include discussion to enable students’ time at RADA to be included on their ultimate transcript from the new provider.</w:t>
      </w:r>
    </w:p>
    <w:tbl>
      <w:tblPr>
        <w:tblStyle w:val="TableGrid"/>
        <w:tblpPr w:leftFromText="180" w:rightFromText="180" w:vertAnchor="text" w:horzAnchor="page" w:tblpX="2254" w:tblpY="241"/>
        <w:tblW w:w="0" w:type="auto"/>
        <w:tblLook w:val="04A0" w:firstRow="1" w:lastRow="0" w:firstColumn="1" w:lastColumn="0" w:noHBand="0" w:noVBand="1"/>
      </w:tblPr>
      <w:tblGrid>
        <w:gridCol w:w="2776"/>
        <w:gridCol w:w="2776"/>
      </w:tblGrid>
      <w:tr w:rsidR="00295A7A" w:rsidRPr="00CC252C" w14:paraId="6B4FAEA1" w14:textId="77777777" w:rsidTr="00295A7A">
        <w:trPr>
          <w:cnfStyle w:val="100000000000" w:firstRow="1" w:lastRow="0" w:firstColumn="0" w:lastColumn="0" w:oddVBand="0" w:evenVBand="0" w:oddHBand="0" w:evenHBand="0" w:firstRowFirstColumn="0" w:firstRowLastColumn="0" w:lastRowFirstColumn="0" w:lastRowLastColumn="0"/>
          <w:trHeight w:val="586"/>
        </w:trPr>
        <w:tc>
          <w:tcPr>
            <w:tcW w:w="2776" w:type="dxa"/>
          </w:tcPr>
          <w:p w14:paraId="423030A6" w14:textId="77777777" w:rsidR="00295A7A" w:rsidRDefault="00295A7A" w:rsidP="00295A7A">
            <w:pPr>
              <w:rPr>
                <w:rFonts w:eastAsia="Times New Roman" w:cs="Arial"/>
              </w:rPr>
            </w:pPr>
            <w:r w:rsidRPr="00CC252C">
              <w:rPr>
                <w:rFonts w:eastAsia="Times New Roman" w:cs="Arial"/>
                <w:sz w:val="22"/>
                <w:szCs w:val="22"/>
              </w:rPr>
              <w:t>Last approved by RADA Academic Board</w:t>
            </w:r>
          </w:p>
        </w:tc>
        <w:tc>
          <w:tcPr>
            <w:tcW w:w="2776" w:type="dxa"/>
          </w:tcPr>
          <w:p w14:paraId="4DC72127" w14:textId="77777777" w:rsidR="00295A7A" w:rsidRPr="004C2454" w:rsidRDefault="00295A7A" w:rsidP="00295A7A">
            <w:pPr>
              <w:rPr>
                <w:rFonts w:eastAsia="Times New Roman" w:cs="Arial"/>
              </w:rPr>
            </w:pPr>
            <w:r>
              <w:rPr>
                <w:rFonts w:eastAsia="Times New Roman" w:cs="Arial"/>
              </w:rPr>
              <w:t xml:space="preserve"> October 2020</w:t>
            </w:r>
          </w:p>
        </w:tc>
      </w:tr>
      <w:tr w:rsidR="00295A7A" w:rsidRPr="00CC252C" w14:paraId="75A08591" w14:textId="77777777" w:rsidTr="00295A7A">
        <w:trPr>
          <w:trHeight w:val="14"/>
        </w:trPr>
        <w:tc>
          <w:tcPr>
            <w:tcW w:w="2776" w:type="dxa"/>
          </w:tcPr>
          <w:p w14:paraId="6AEB520B" w14:textId="77777777" w:rsidR="00295A7A" w:rsidRPr="004C2454" w:rsidRDefault="00295A7A" w:rsidP="00295A7A">
            <w:pPr>
              <w:rPr>
                <w:rFonts w:eastAsia="Times New Roman" w:cs="Arial"/>
              </w:rPr>
            </w:pPr>
            <w:r>
              <w:rPr>
                <w:rFonts w:eastAsia="Times New Roman" w:cs="Arial"/>
              </w:rPr>
              <w:t>Policy Updated</w:t>
            </w:r>
          </w:p>
        </w:tc>
        <w:tc>
          <w:tcPr>
            <w:tcW w:w="2776" w:type="dxa"/>
          </w:tcPr>
          <w:p w14:paraId="60B75E10" w14:textId="77777777" w:rsidR="00295A7A" w:rsidRPr="004C2454" w:rsidRDefault="00295A7A" w:rsidP="00295A7A">
            <w:pPr>
              <w:rPr>
                <w:rFonts w:eastAsia="Times New Roman" w:cs="Arial"/>
              </w:rPr>
            </w:pPr>
            <w:r>
              <w:rPr>
                <w:rFonts w:eastAsia="Times New Roman" w:cs="Arial"/>
              </w:rPr>
              <w:t>November 2021</w:t>
            </w:r>
          </w:p>
        </w:tc>
      </w:tr>
      <w:tr w:rsidR="00295A7A" w:rsidRPr="00CC252C" w14:paraId="0B5C263E" w14:textId="77777777" w:rsidTr="00295A7A">
        <w:trPr>
          <w:trHeight w:val="14"/>
        </w:trPr>
        <w:tc>
          <w:tcPr>
            <w:tcW w:w="2776" w:type="dxa"/>
          </w:tcPr>
          <w:p w14:paraId="2A311240" w14:textId="77777777" w:rsidR="00295A7A" w:rsidRPr="004C2454" w:rsidRDefault="00295A7A" w:rsidP="00295A7A">
            <w:pPr>
              <w:rPr>
                <w:rFonts w:eastAsia="Times New Roman" w:cs="Arial"/>
              </w:rPr>
            </w:pPr>
            <w:r w:rsidRPr="004C2454">
              <w:rPr>
                <w:rFonts w:eastAsia="Times New Roman" w:cs="Arial"/>
              </w:rPr>
              <w:t>Document Approved by</w:t>
            </w:r>
          </w:p>
        </w:tc>
        <w:tc>
          <w:tcPr>
            <w:tcW w:w="2776" w:type="dxa"/>
          </w:tcPr>
          <w:p w14:paraId="3795DD6B" w14:textId="77777777" w:rsidR="00295A7A" w:rsidRPr="004C2454" w:rsidRDefault="00295A7A" w:rsidP="00295A7A">
            <w:pPr>
              <w:rPr>
                <w:rFonts w:eastAsia="Times New Roman" w:cs="Arial"/>
              </w:rPr>
            </w:pPr>
            <w:r>
              <w:rPr>
                <w:rFonts w:eastAsia="Times New Roman" w:cs="Arial"/>
              </w:rPr>
              <w:t>Chairs action</w:t>
            </w:r>
          </w:p>
        </w:tc>
      </w:tr>
      <w:tr w:rsidR="00295A7A" w:rsidRPr="00CC252C" w14:paraId="2F5F675B" w14:textId="77777777" w:rsidTr="00295A7A">
        <w:trPr>
          <w:trHeight w:val="14"/>
        </w:trPr>
        <w:tc>
          <w:tcPr>
            <w:tcW w:w="2776" w:type="dxa"/>
          </w:tcPr>
          <w:p w14:paraId="6933E03A" w14:textId="77777777" w:rsidR="00295A7A" w:rsidRPr="004C2454" w:rsidRDefault="00295A7A" w:rsidP="00295A7A">
            <w:pPr>
              <w:rPr>
                <w:rFonts w:eastAsia="Times New Roman" w:cs="Arial"/>
              </w:rPr>
            </w:pPr>
            <w:r w:rsidRPr="004C2454">
              <w:rPr>
                <w:rFonts w:eastAsia="Times New Roman" w:cs="Arial"/>
              </w:rPr>
              <w:t>Date Approved</w:t>
            </w:r>
          </w:p>
        </w:tc>
        <w:tc>
          <w:tcPr>
            <w:tcW w:w="2776" w:type="dxa"/>
          </w:tcPr>
          <w:p w14:paraId="062E0AC2" w14:textId="77777777" w:rsidR="00295A7A" w:rsidRPr="004C2454" w:rsidRDefault="00295A7A" w:rsidP="00295A7A">
            <w:pPr>
              <w:rPr>
                <w:rFonts w:eastAsia="Times New Roman" w:cs="Arial"/>
              </w:rPr>
            </w:pPr>
            <w:r>
              <w:rPr>
                <w:rFonts w:eastAsia="Times New Roman" w:cs="Arial"/>
              </w:rPr>
              <w:t>02/11/2021</w:t>
            </w:r>
          </w:p>
        </w:tc>
      </w:tr>
      <w:tr w:rsidR="00295A7A" w:rsidRPr="00CC252C" w14:paraId="4FFA61D1" w14:textId="77777777" w:rsidTr="00295A7A">
        <w:trPr>
          <w:trHeight w:val="14"/>
        </w:trPr>
        <w:tc>
          <w:tcPr>
            <w:tcW w:w="2776" w:type="dxa"/>
          </w:tcPr>
          <w:p w14:paraId="7A0CCE58" w14:textId="77777777" w:rsidR="00295A7A" w:rsidRPr="004C2454" w:rsidRDefault="00295A7A" w:rsidP="00295A7A">
            <w:pPr>
              <w:rPr>
                <w:rFonts w:eastAsia="Times New Roman" w:cs="Arial"/>
              </w:rPr>
            </w:pPr>
            <w:r w:rsidRPr="004C2454">
              <w:rPr>
                <w:rFonts w:eastAsia="Times New Roman" w:cs="Arial"/>
              </w:rPr>
              <w:t>Version</w:t>
            </w:r>
          </w:p>
        </w:tc>
        <w:tc>
          <w:tcPr>
            <w:tcW w:w="2776" w:type="dxa"/>
          </w:tcPr>
          <w:p w14:paraId="58550053" w14:textId="77777777" w:rsidR="00295A7A" w:rsidRPr="004C2454" w:rsidRDefault="00295A7A" w:rsidP="00295A7A">
            <w:pPr>
              <w:rPr>
                <w:rFonts w:eastAsia="Times New Roman" w:cs="Arial"/>
              </w:rPr>
            </w:pPr>
            <w:r>
              <w:rPr>
                <w:rFonts w:eastAsia="Times New Roman" w:cs="Arial"/>
              </w:rPr>
              <w:t xml:space="preserve"> 1.1</w:t>
            </w:r>
          </w:p>
        </w:tc>
      </w:tr>
      <w:tr w:rsidR="00295A7A" w:rsidRPr="00CC252C" w14:paraId="6D04BE0A" w14:textId="77777777" w:rsidTr="00295A7A">
        <w:tc>
          <w:tcPr>
            <w:tcW w:w="2776" w:type="dxa"/>
          </w:tcPr>
          <w:p w14:paraId="53877DD2" w14:textId="77777777" w:rsidR="00295A7A" w:rsidRPr="004C2454" w:rsidRDefault="00295A7A" w:rsidP="00295A7A">
            <w:pPr>
              <w:rPr>
                <w:rFonts w:eastAsia="Times New Roman" w:cs="Arial"/>
              </w:rPr>
            </w:pPr>
            <w:r w:rsidRPr="004C2454">
              <w:rPr>
                <w:rFonts w:eastAsia="Times New Roman" w:cs="Arial"/>
              </w:rPr>
              <w:t>Review Date</w:t>
            </w:r>
          </w:p>
        </w:tc>
        <w:tc>
          <w:tcPr>
            <w:tcW w:w="2776" w:type="dxa"/>
          </w:tcPr>
          <w:p w14:paraId="0FF2B48A" w14:textId="77777777" w:rsidR="00295A7A" w:rsidRPr="004C2454" w:rsidRDefault="00295A7A" w:rsidP="00295A7A">
            <w:pPr>
              <w:rPr>
                <w:rFonts w:eastAsia="Times New Roman" w:cs="Arial"/>
              </w:rPr>
            </w:pPr>
            <w:r>
              <w:rPr>
                <w:rFonts w:eastAsia="Times New Roman" w:cs="Arial"/>
              </w:rPr>
              <w:t>October 2025</w:t>
            </w:r>
          </w:p>
        </w:tc>
      </w:tr>
    </w:tbl>
    <w:p w14:paraId="2FB28865" w14:textId="109E5A77" w:rsidR="00E97DA9" w:rsidRDefault="00E97DA9" w:rsidP="00E97DA9">
      <w:pPr>
        <w:rPr>
          <w:rFonts w:ascii="Arial" w:hAnsi="Arial" w:cs="Arial"/>
          <w:sz w:val="22"/>
        </w:rPr>
      </w:pPr>
    </w:p>
    <w:p w14:paraId="11DD9FEB" w14:textId="77777777" w:rsidR="005C7069" w:rsidRDefault="005C7069" w:rsidP="005C7069"/>
    <w:p w14:paraId="3DF37A26" w14:textId="77777777" w:rsidR="005C7069" w:rsidRPr="00FF189F" w:rsidRDefault="005C7069" w:rsidP="00E97DA9">
      <w:pPr>
        <w:rPr>
          <w:rFonts w:ascii="Arial" w:hAnsi="Arial" w:cs="Arial"/>
          <w:sz w:val="22"/>
        </w:rPr>
      </w:pPr>
    </w:p>
    <w:sectPr w:rsidR="005C7069" w:rsidRPr="00FF189F">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2BBFBE" w16cex:dateUtc="2021-11-02T13:4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0C36E52" w16cid:durableId="252BBFBE"/>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E207038"/>
    <w:multiLevelType w:val="hybridMultilevel"/>
    <w:tmpl w:val="43C64FFA"/>
    <w:lvl w:ilvl="0" w:tplc="791A3A98">
      <w:start w:val="1"/>
      <w:numFmt w:val="decimal"/>
      <w:pStyle w:val="Numbered"/>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tzQ0sDQzNzK3MDE1NDRX0lEKTi0uzszPAykwrwUAxyCvuCwAAAA="/>
  </w:docVars>
  <w:rsids>
    <w:rsidRoot w:val="00A612F8"/>
    <w:rsid w:val="00036078"/>
    <w:rsid w:val="000855E4"/>
    <w:rsid w:val="000D0965"/>
    <w:rsid w:val="001205B9"/>
    <w:rsid w:val="00173375"/>
    <w:rsid w:val="00295A7A"/>
    <w:rsid w:val="0039021E"/>
    <w:rsid w:val="00587EC6"/>
    <w:rsid w:val="005A407C"/>
    <w:rsid w:val="005B2ADF"/>
    <w:rsid w:val="005C7069"/>
    <w:rsid w:val="00787514"/>
    <w:rsid w:val="00792E93"/>
    <w:rsid w:val="007A6361"/>
    <w:rsid w:val="00900461"/>
    <w:rsid w:val="00991774"/>
    <w:rsid w:val="009A3A8E"/>
    <w:rsid w:val="009E1A1C"/>
    <w:rsid w:val="00A17DC0"/>
    <w:rsid w:val="00A612F8"/>
    <w:rsid w:val="00A6410C"/>
    <w:rsid w:val="00A92973"/>
    <w:rsid w:val="00AB405F"/>
    <w:rsid w:val="00AE20BE"/>
    <w:rsid w:val="00BD7A9C"/>
    <w:rsid w:val="00BE156B"/>
    <w:rsid w:val="00C41384"/>
    <w:rsid w:val="00CA0830"/>
    <w:rsid w:val="00CE0F31"/>
    <w:rsid w:val="00CF1808"/>
    <w:rsid w:val="00D62FBE"/>
    <w:rsid w:val="00DA19EC"/>
    <w:rsid w:val="00E16826"/>
    <w:rsid w:val="00E463EA"/>
    <w:rsid w:val="00E97DA9"/>
    <w:rsid w:val="00F7132B"/>
    <w:rsid w:val="00FD4CAA"/>
    <w:rsid w:val="00FF189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EF49"/>
  <w15:chartTrackingRefBased/>
  <w15:docId w15:val="{E6FAE07F-0BBC-4783-A47E-C15DCBB4A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1774"/>
    <w:pPr>
      <w:spacing w:after="240"/>
    </w:pPr>
    <w:rPr>
      <w:sz w:val="24"/>
    </w:rPr>
  </w:style>
  <w:style w:type="paragraph" w:styleId="Heading1">
    <w:name w:val="heading 1"/>
    <w:basedOn w:val="Normal"/>
    <w:next w:val="Normal"/>
    <w:link w:val="Heading1Char"/>
    <w:uiPriority w:val="9"/>
    <w:qFormat/>
    <w:rsid w:val="00A612F8"/>
    <w:pPr>
      <w:keepNext/>
      <w:keepLines/>
      <w:spacing w:before="240"/>
      <w:outlineLvl w:val="0"/>
    </w:pPr>
    <w:rPr>
      <w:rFonts w:eastAsiaTheme="majorEastAsia" w:cstheme="minorHAnsi"/>
      <w:b/>
      <w:sz w:val="28"/>
      <w:szCs w:val="32"/>
    </w:rPr>
  </w:style>
  <w:style w:type="paragraph" w:styleId="Heading2">
    <w:name w:val="heading 2"/>
    <w:basedOn w:val="Normal"/>
    <w:next w:val="Normal"/>
    <w:link w:val="Heading2Char"/>
    <w:uiPriority w:val="9"/>
    <w:semiHidden/>
    <w:unhideWhenUsed/>
    <w:qFormat/>
    <w:rsid w:val="00D62FB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612F8"/>
    <w:rPr>
      <w:rFonts w:eastAsiaTheme="majorEastAsia" w:cstheme="minorHAnsi"/>
      <w:b/>
      <w:sz w:val="28"/>
      <w:szCs w:val="32"/>
    </w:rPr>
  </w:style>
  <w:style w:type="paragraph" w:styleId="Title">
    <w:name w:val="Title"/>
    <w:basedOn w:val="Normal"/>
    <w:next w:val="Normal"/>
    <w:link w:val="TitleChar"/>
    <w:uiPriority w:val="10"/>
    <w:qFormat/>
    <w:rsid w:val="00A612F8"/>
    <w:pPr>
      <w:spacing w:after="0" w:line="240" w:lineRule="auto"/>
      <w:contextualSpacing/>
    </w:pPr>
    <w:rPr>
      <w:rFonts w:eastAsiaTheme="majorEastAsia" w:cstheme="minorHAnsi"/>
      <w:b/>
      <w:kern w:val="28"/>
      <w:sz w:val="32"/>
      <w:szCs w:val="56"/>
    </w:rPr>
  </w:style>
  <w:style w:type="character" w:customStyle="1" w:styleId="TitleChar">
    <w:name w:val="Title Char"/>
    <w:basedOn w:val="DefaultParagraphFont"/>
    <w:link w:val="Title"/>
    <w:uiPriority w:val="10"/>
    <w:rsid w:val="00A612F8"/>
    <w:rPr>
      <w:rFonts w:eastAsiaTheme="majorEastAsia" w:cstheme="minorHAnsi"/>
      <w:b/>
      <w:kern w:val="28"/>
      <w:sz w:val="32"/>
      <w:szCs w:val="56"/>
    </w:rPr>
  </w:style>
  <w:style w:type="paragraph" w:styleId="ListParagraph">
    <w:name w:val="List Paragraph"/>
    <w:basedOn w:val="Normal"/>
    <w:link w:val="ListParagraphChar"/>
    <w:uiPriority w:val="34"/>
    <w:qFormat/>
    <w:rsid w:val="00A612F8"/>
    <w:pPr>
      <w:ind w:left="720"/>
      <w:contextualSpacing/>
    </w:pPr>
  </w:style>
  <w:style w:type="paragraph" w:customStyle="1" w:styleId="Numbered">
    <w:name w:val="Numbered"/>
    <w:basedOn w:val="ListParagraph"/>
    <w:link w:val="NumberedChar"/>
    <w:qFormat/>
    <w:rsid w:val="00A612F8"/>
    <w:pPr>
      <w:numPr>
        <w:numId w:val="1"/>
      </w:numPr>
      <w:ind w:hanging="720"/>
      <w:contextualSpacing w:val="0"/>
    </w:pPr>
  </w:style>
  <w:style w:type="character" w:customStyle="1" w:styleId="ListParagraphChar">
    <w:name w:val="List Paragraph Char"/>
    <w:basedOn w:val="DefaultParagraphFont"/>
    <w:link w:val="ListParagraph"/>
    <w:uiPriority w:val="34"/>
    <w:rsid w:val="00A612F8"/>
    <w:rPr>
      <w:sz w:val="24"/>
    </w:rPr>
  </w:style>
  <w:style w:type="character" w:customStyle="1" w:styleId="NumberedChar">
    <w:name w:val="Numbered Char"/>
    <w:basedOn w:val="ListParagraphChar"/>
    <w:link w:val="Numbered"/>
    <w:rsid w:val="00A612F8"/>
    <w:rPr>
      <w:sz w:val="24"/>
    </w:rPr>
  </w:style>
  <w:style w:type="character" w:styleId="CommentReference">
    <w:name w:val="annotation reference"/>
    <w:basedOn w:val="DefaultParagraphFont"/>
    <w:uiPriority w:val="99"/>
    <w:semiHidden/>
    <w:unhideWhenUsed/>
    <w:rsid w:val="00FD4CAA"/>
    <w:rPr>
      <w:sz w:val="16"/>
      <w:szCs w:val="16"/>
    </w:rPr>
  </w:style>
  <w:style w:type="paragraph" w:styleId="CommentText">
    <w:name w:val="annotation text"/>
    <w:basedOn w:val="Normal"/>
    <w:link w:val="CommentTextChar"/>
    <w:uiPriority w:val="99"/>
    <w:semiHidden/>
    <w:unhideWhenUsed/>
    <w:rsid w:val="00FD4CAA"/>
    <w:pPr>
      <w:spacing w:line="240" w:lineRule="auto"/>
    </w:pPr>
    <w:rPr>
      <w:sz w:val="20"/>
      <w:szCs w:val="20"/>
    </w:rPr>
  </w:style>
  <w:style w:type="character" w:customStyle="1" w:styleId="CommentTextChar">
    <w:name w:val="Comment Text Char"/>
    <w:basedOn w:val="DefaultParagraphFont"/>
    <w:link w:val="CommentText"/>
    <w:uiPriority w:val="99"/>
    <w:semiHidden/>
    <w:rsid w:val="00FD4CAA"/>
    <w:rPr>
      <w:sz w:val="20"/>
      <w:szCs w:val="20"/>
    </w:rPr>
  </w:style>
  <w:style w:type="paragraph" w:styleId="CommentSubject">
    <w:name w:val="annotation subject"/>
    <w:basedOn w:val="CommentText"/>
    <w:next w:val="CommentText"/>
    <w:link w:val="CommentSubjectChar"/>
    <w:uiPriority w:val="99"/>
    <w:semiHidden/>
    <w:unhideWhenUsed/>
    <w:rsid w:val="00FD4CAA"/>
    <w:rPr>
      <w:b/>
      <w:bCs/>
    </w:rPr>
  </w:style>
  <w:style w:type="character" w:customStyle="1" w:styleId="CommentSubjectChar">
    <w:name w:val="Comment Subject Char"/>
    <w:basedOn w:val="CommentTextChar"/>
    <w:link w:val="CommentSubject"/>
    <w:uiPriority w:val="99"/>
    <w:semiHidden/>
    <w:rsid w:val="00FD4CAA"/>
    <w:rPr>
      <w:b/>
      <w:bCs/>
      <w:sz w:val="20"/>
      <w:szCs w:val="20"/>
    </w:rPr>
  </w:style>
  <w:style w:type="paragraph" w:styleId="BalloonText">
    <w:name w:val="Balloon Text"/>
    <w:basedOn w:val="Normal"/>
    <w:link w:val="BalloonTextChar"/>
    <w:uiPriority w:val="99"/>
    <w:semiHidden/>
    <w:unhideWhenUsed/>
    <w:rsid w:val="00FD4C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4CAA"/>
    <w:rPr>
      <w:rFonts w:ascii="Segoe UI" w:hAnsi="Segoe UI" w:cs="Segoe UI"/>
      <w:sz w:val="18"/>
      <w:szCs w:val="18"/>
    </w:rPr>
  </w:style>
  <w:style w:type="character" w:customStyle="1" w:styleId="Heading2Char">
    <w:name w:val="Heading 2 Char"/>
    <w:basedOn w:val="DefaultParagraphFont"/>
    <w:link w:val="Heading2"/>
    <w:uiPriority w:val="9"/>
    <w:semiHidden/>
    <w:rsid w:val="00D62FBE"/>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D62FBE"/>
    <w:pPr>
      <w:spacing w:after="0" w:line="240" w:lineRule="auto"/>
    </w:pPr>
    <w:rPr>
      <w:rFonts w:ascii="Arial" w:eastAsia="Calibri" w:hAnsi="Arial"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left w:w="57" w:type="dxa"/>
        <w:bottom w:w="57" w:type="dxa"/>
        <w:right w:w="57" w:type="dxa"/>
      </w:tblCellMar>
    </w:tblPr>
    <w:trPr>
      <w:cantSplit/>
    </w:trPr>
    <w:tblStylePr w:type="firstRow">
      <w:tblPr/>
      <w:trPr>
        <w:cantSplit w:val="0"/>
        <w:tblHeader/>
      </w:trPr>
      <w:tcPr>
        <w:tcMar>
          <w:top w:w="113" w:type="dxa"/>
          <w:left w:w="57" w:type="dxa"/>
          <w:bottom w:w="113" w:type="dxa"/>
          <w:right w:w="57" w:type="dxa"/>
        </w:tcMar>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5423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5" Type="http://schemas.microsoft.com/office/2016/09/relationships/commentsIds" Target="commentsIds.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DD475CF25AEF4790320989178BDA15" ma:contentTypeVersion="8" ma:contentTypeDescription="Create a new document." ma:contentTypeScope="" ma:versionID="f309fae961521113d73cb93a6c8ef3b1">
  <xsd:schema xmlns:xsd="http://www.w3.org/2001/XMLSchema" xmlns:xs="http://www.w3.org/2001/XMLSchema" xmlns:p="http://schemas.microsoft.com/office/2006/metadata/properties" xmlns:ns3="a41efb0f-9d77-4df7-97d2-6859d894b507" targetNamespace="http://schemas.microsoft.com/office/2006/metadata/properties" ma:root="true" ma:fieldsID="0687a09dca0548f5a2a5634b4a38c428" ns3:_="">
    <xsd:import namespace="a41efb0f-9d77-4df7-97d2-6859d894b50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41efb0f-9d77-4df7-97d2-6859d894b5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A739A-079C-45E6-82DF-3AD097827B02}">
  <ds:schemaRefs>
    <ds:schemaRef ds:uri="http://schemas.microsoft.com/sharepoint/v3/contenttype/forms"/>
  </ds:schemaRefs>
</ds:datastoreItem>
</file>

<file path=customXml/itemProps2.xml><?xml version="1.0" encoding="utf-8"?>
<ds:datastoreItem xmlns:ds="http://schemas.openxmlformats.org/officeDocument/2006/customXml" ds:itemID="{5B19E9CA-EEDB-4EA1-B433-24F023A53B4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41efb0f-9d77-4df7-97d2-6859d894b5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2B10664-5705-47A4-AEC7-10B292E08837}">
  <ds:schemaRefs>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http://purl.org/dc/dcmitype/"/>
    <ds:schemaRef ds:uri="a41efb0f-9d77-4df7-97d2-6859d894b507"/>
    <ds:schemaRef ds:uri="http://www.w3.org/XML/1998/namespace"/>
    <ds:schemaRef ds:uri="http://purl.org/dc/terms/"/>
  </ds:schemaRefs>
</ds:datastoreItem>
</file>

<file path=customXml/itemProps4.xml><?xml version="1.0" encoding="utf-8"?>
<ds:datastoreItem xmlns:ds="http://schemas.openxmlformats.org/officeDocument/2006/customXml" ds:itemID="{A986084E-6DDA-45A0-9025-7ECA536751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5</Pages>
  <Words>1412</Words>
  <Characters>8052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Hugh Jones</dc:creator>
  <cp:keywords/>
  <dc:description/>
  <cp:lastModifiedBy>Patricia Platinetti</cp:lastModifiedBy>
  <cp:revision>9</cp:revision>
  <cp:lastPrinted>2019-03-18T14:34:00Z</cp:lastPrinted>
  <dcterms:created xsi:type="dcterms:W3CDTF">2021-11-02T14:51:00Z</dcterms:created>
  <dcterms:modified xsi:type="dcterms:W3CDTF">2021-11-03T13:18:00Z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0x010100B3DD475CF25AEF4790320989178BDA15</vt:lpwstr>
  </property>
</Properties>
</file>