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0ECE9" w14:textId="64F8FC79" w:rsidR="00AB5760" w:rsidRPr="00D32BB9" w:rsidRDefault="0086615B" w:rsidP="00B93B36">
      <w:pPr>
        <w:spacing w:after="0"/>
        <w:rPr>
          <w:rFonts w:ascii="Dia Regular" w:hAnsi="Dia Regular" w:cstheme="minorHAnsi"/>
          <w:sz w:val="32"/>
          <w:szCs w:val="32"/>
        </w:rPr>
      </w:pPr>
      <w:r w:rsidRPr="00D32BB9">
        <w:rPr>
          <w:rFonts w:ascii="Dia Regular" w:hAnsi="Dia Regular" w:cstheme="minorHAnsi"/>
          <w:sz w:val="32"/>
          <w:szCs w:val="32"/>
        </w:rPr>
        <w:t>Director of Equity</w:t>
      </w:r>
      <w:r w:rsidR="001C67FB" w:rsidRPr="00D32BB9">
        <w:rPr>
          <w:rFonts w:ascii="Dia Regular" w:hAnsi="Dia Regular" w:cstheme="minorHAnsi"/>
          <w:sz w:val="32"/>
          <w:szCs w:val="32"/>
        </w:rPr>
        <w:br/>
      </w:r>
    </w:p>
    <w:p w14:paraId="76C434FE" w14:textId="6F8F07FB" w:rsidR="00817F60" w:rsidRPr="00222FD3" w:rsidRDefault="004F23A4" w:rsidP="00817F60">
      <w:pPr>
        <w:spacing w:after="0"/>
        <w:rPr>
          <w:rFonts w:ascii="Dia Regular" w:hAnsi="Dia Regular" w:cstheme="minorHAnsi"/>
          <w:b/>
          <w:bCs/>
        </w:rPr>
      </w:pPr>
      <w:r w:rsidRPr="00222FD3">
        <w:rPr>
          <w:rFonts w:ascii="Dia Regular" w:hAnsi="Dia Regular" w:cstheme="minorHAnsi"/>
          <w:b/>
          <w:bCs/>
        </w:rPr>
        <w:t>Background</w:t>
      </w:r>
    </w:p>
    <w:p w14:paraId="6539B0FD" w14:textId="484A59BE" w:rsidR="000C574D" w:rsidRPr="00222FD3" w:rsidRDefault="00817F60" w:rsidP="000C574D">
      <w:pPr>
        <w:spacing w:after="360"/>
        <w:rPr>
          <w:rFonts w:ascii="Dia Regular" w:eastAsia="Times New Roman" w:hAnsi="Dia Regular" w:cstheme="minorHAnsi"/>
          <w:lang w:eastAsia="en-GB"/>
        </w:rPr>
      </w:pPr>
      <w:r w:rsidRPr="00222FD3">
        <w:rPr>
          <w:rFonts w:ascii="Dia Regular" w:hAnsi="Dia Regular" w:cstheme="minorHAnsi"/>
        </w:rPr>
        <w:t xml:space="preserve">One of RADA’s critical priorities </w:t>
      </w:r>
      <w:r w:rsidR="005675B3" w:rsidRPr="00222FD3">
        <w:rPr>
          <w:rFonts w:ascii="Dia Regular" w:hAnsi="Dia Regular" w:cstheme="minorHAnsi"/>
        </w:rPr>
        <w:t>now and for the long term</w:t>
      </w:r>
      <w:r w:rsidRPr="00222FD3">
        <w:rPr>
          <w:rFonts w:ascii="Dia Regular" w:hAnsi="Dia Regular" w:cstheme="minorHAnsi"/>
        </w:rPr>
        <w:t xml:space="preserve"> is establishing an anti-racist culture and institution. RADA’s Council and Senior Leadership Team </w:t>
      </w:r>
      <w:r w:rsidRPr="00222FD3">
        <w:rPr>
          <w:rFonts w:ascii="Dia Regular" w:eastAsia="Times New Roman" w:hAnsi="Dia Regular" w:cstheme="minorHAnsi"/>
          <w:lang w:eastAsia="en-GB"/>
        </w:rPr>
        <w:t>are committed to institution-wide change to create an anti-racist and inclusive culture, where everyone feels safe and is able to speak up.</w:t>
      </w:r>
    </w:p>
    <w:p w14:paraId="57F5C5F7" w14:textId="7C93A3E1" w:rsidR="000C574D" w:rsidRPr="00222FD3" w:rsidRDefault="004520E9" w:rsidP="000C574D">
      <w:pPr>
        <w:spacing w:after="360"/>
        <w:rPr>
          <w:rFonts w:ascii="Dia Regular" w:eastAsia="Times New Roman" w:hAnsi="Dia Regular" w:cstheme="minorHAnsi"/>
          <w:lang w:eastAsia="en-GB"/>
        </w:rPr>
      </w:pPr>
      <w:r w:rsidRPr="00222FD3">
        <w:rPr>
          <w:rFonts w:ascii="Dia Regular" w:eastAsia="Times New Roman" w:hAnsi="Dia Regular" w:cstheme="minorHAnsi"/>
          <w:lang w:eastAsia="en-GB"/>
        </w:rPr>
        <w:t>RADA outlined its commitment to anti-racism in the summer of 2020</w:t>
      </w:r>
      <w:r w:rsidR="00EA4651" w:rsidRPr="00222FD3">
        <w:rPr>
          <w:rFonts w:ascii="Dia Regular" w:eastAsia="Times New Roman" w:hAnsi="Dia Regular" w:cstheme="minorHAnsi"/>
          <w:lang w:eastAsia="en-GB"/>
        </w:rPr>
        <w:t>. To</w:t>
      </w:r>
      <w:r w:rsidRPr="00222FD3">
        <w:rPr>
          <w:rFonts w:ascii="Dia Regular" w:eastAsia="Times New Roman" w:hAnsi="Dia Regular" w:cstheme="minorHAnsi"/>
          <w:lang w:eastAsia="en-GB"/>
        </w:rPr>
        <w:t xml:space="preserve"> date this has included the work of RADA’s Anti-Racism Steering Group, the appointment of Leeds Beckett University as specialist consultants to undertake a root and branch review and work with the Academy to create a roadmap for change and work from teams across the Academy to create department action plans. </w:t>
      </w:r>
      <w:r w:rsidR="00EA4651" w:rsidRPr="00222FD3">
        <w:rPr>
          <w:rFonts w:ascii="Dia Regular" w:eastAsia="Times New Roman" w:hAnsi="Dia Regular" w:cstheme="minorHAnsi"/>
          <w:lang w:eastAsia="en-GB"/>
        </w:rPr>
        <w:t xml:space="preserve">Strong leadership </w:t>
      </w:r>
      <w:r w:rsidRPr="00222FD3">
        <w:rPr>
          <w:rFonts w:ascii="Dia Regular" w:eastAsia="Times New Roman" w:hAnsi="Dia Regular" w:cstheme="minorHAnsi"/>
          <w:lang w:eastAsia="en-GB"/>
        </w:rPr>
        <w:t>is now needed for th</w:t>
      </w:r>
      <w:r w:rsidR="005675B3" w:rsidRPr="00222FD3">
        <w:rPr>
          <w:rFonts w:ascii="Dia Regular" w:eastAsia="Times New Roman" w:hAnsi="Dia Regular" w:cstheme="minorHAnsi"/>
          <w:lang w:eastAsia="en-GB"/>
        </w:rPr>
        <w:t>is</w:t>
      </w:r>
      <w:r w:rsidRPr="00222FD3">
        <w:rPr>
          <w:rFonts w:ascii="Dia Regular" w:eastAsia="Times New Roman" w:hAnsi="Dia Regular" w:cstheme="minorHAnsi"/>
          <w:lang w:eastAsia="en-GB"/>
        </w:rPr>
        <w:t xml:space="preserve"> work, in order to draw together the work done so far into a strategy</w:t>
      </w:r>
      <w:r w:rsidR="005675B3" w:rsidRPr="00222FD3">
        <w:rPr>
          <w:rFonts w:ascii="Dia Regular" w:eastAsia="Times New Roman" w:hAnsi="Dia Regular" w:cstheme="minorHAnsi"/>
          <w:lang w:eastAsia="en-GB"/>
        </w:rPr>
        <w:t xml:space="preserve"> to sit</w:t>
      </w:r>
      <w:r w:rsidRPr="00222FD3">
        <w:rPr>
          <w:rFonts w:ascii="Dia Regular" w:eastAsia="Times New Roman" w:hAnsi="Dia Regular" w:cstheme="minorHAnsi"/>
          <w:lang w:eastAsia="en-GB"/>
        </w:rPr>
        <w:t xml:space="preserve"> at the heart of RADA’s culture</w:t>
      </w:r>
      <w:r w:rsidR="009D2BA5" w:rsidRPr="00222FD3">
        <w:rPr>
          <w:rFonts w:ascii="Dia Regular" w:eastAsia="Times New Roman" w:hAnsi="Dia Regular" w:cstheme="minorHAnsi"/>
          <w:lang w:eastAsia="en-GB"/>
        </w:rPr>
        <w:t xml:space="preserve">, and </w:t>
      </w:r>
      <w:r w:rsidR="005675B3" w:rsidRPr="00222FD3">
        <w:rPr>
          <w:rFonts w:ascii="Dia Regular" w:eastAsia="Times New Roman" w:hAnsi="Dia Regular" w:cstheme="minorHAnsi"/>
          <w:lang w:eastAsia="en-GB"/>
        </w:rPr>
        <w:t xml:space="preserve">running </w:t>
      </w:r>
      <w:r w:rsidR="009D2BA5" w:rsidRPr="00222FD3">
        <w:rPr>
          <w:rFonts w:ascii="Dia Regular" w:eastAsia="Times New Roman" w:hAnsi="Dia Regular" w:cstheme="minorHAnsi"/>
          <w:lang w:eastAsia="en-GB"/>
        </w:rPr>
        <w:t>through our curriculum, pedagogy, policy and practice.</w:t>
      </w:r>
    </w:p>
    <w:p w14:paraId="2F2C4A09" w14:textId="636206FA" w:rsidR="001C7997" w:rsidRPr="00222FD3" w:rsidRDefault="004F23A4" w:rsidP="000C574D">
      <w:pPr>
        <w:spacing w:after="360"/>
        <w:rPr>
          <w:rFonts w:ascii="Dia Regular" w:eastAsia="Times New Roman" w:hAnsi="Dia Regular" w:cstheme="minorHAnsi"/>
          <w:lang w:eastAsia="en-GB"/>
        </w:rPr>
      </w:pPr>
      <w:r w:rsidRPr="00222FD3">
        <w:rPr>
          <w:rFonts w:ascii="Dia Regular" w:eastAsia="Times New Roman" w:hAnsi="Dia Regular" w:cstheme="minorHAnsi"/>
          <w:lang w:eastAsia="en-GB"/>
        </w:rPr>
        <w:t>The role</w:t>
      </w:r>
      <w:r w:rsidR="00817F60" w:rsidRPr="00222FD3">
        <w:rPr>
          <w:rFonts w:ascii="Dia Regular" w:eastAsia="Times New Roman" w:hAnsi="Dia Regular" w:cstheme="minorHAnsi"/>
          <w:lang w:eastAsia="en-GB"/>
        </w:rPr>
        <w:t xml:space="preserve"> Director of Equity </w:t>
      </w:r>
      <w:r w:rsidRPr="00222FD3">
        <w:rPr>
          <w:rFonts w:ascii="Dia Regular" w:eastAsia="Times New Roman" w:hAnsi="Dia Regular" w:cstheme="minorHAnsi"/>
          <w:lang w:eastAsia="en-GB"/>
        </w:rPr>
        <w:t>is a new role at</w:t>
      </w:r>
      <w:r w:rsidR="00817F60" w:rsidRPr="00222FD3">
        <w:rPr>
          <w:rFonts w:ascii="Dia Regular" w:eastAsia="Times New Roman" w:hAnsi="Dia Regular" w:cstheme="minorHAnsi"/>
          <w:lang w:eastAsia="en-GB"/>
        </w:rPr>
        <w:t xml:space="preserve"> senior leadership level. </w:t>
      </w:r>
      <w:r w:rsidR="00B7383A" w:rsidRPr="00222FD3">
        <w:rPr>
          <w:rFonts w:ascii="Dia Regular" w:eastAsia="Times New Roman" w:hAnsi="Dia Regular" w:cstheme="minorHAnsi"/>
          <w:lang w:eastAsia="en-GB"/>
        </w:rPr>
        <w:t>This is a vital role to drive change, consolidate the work so far, and provide a clear path for the work within RADA.</w:t>
      </w:r>
      <w:r w:rsidR="00CE7923" w:rsidRPr="00222FD3">
        <w:rPr>
          <w:rFonts w:ascii="Dia Regular" w:eastAsia="Times New Roman" w:hAnsi="Dia Regular" w:cstheme="minorHAnsi"/>
          <w:lang w:eastAsia="en-GB"/>
        </w:rPr>
        <w:t xml:space="preserve"> </w:t>
      </w:r>
      <w:r w:rsidR="00D9563C" w:rsidRPr="00222FD3">
        <w:rPr>
          <w:rFonts w:ascii="Dia Regular" w:eastAsia="Times New Roman" w:hAnsi="Dia Regular" w:cstheme="minorHAnsi"/>
          <w:lang w:eastAsia="en-GB"/>
        </w:rPr>
        <w:t xml:space="preserve">The Director of Equity will work closely with the Directors of Actor Training, Technical </w:t>
      </w:r>
      <w:r w:rsidR="00B42C7E" w:rsidRPr="00222FD3">
        <w:rPr>
          <w:rFonts w:ascii="Dia Regular" w:eastAsia="Times New Roman" w:hAnsi="Dia Regular" w:cstheme="minorHAnsi"/>
          <w:lang w:eastAsia="en-GB"/>
        </w:rPr>
        <w:t>Training</w:t>
      </w:r>
      <w:r w:rsidR="00D9563C" w:rsidRPr="00222FD3">
        <w:rPr>
          <w:rFonts w:ascii="Dia Regular" w:eastAsia="Times New Roman" w:hAnsi="Dia Regular" w:cstheme="minorHAnsi"/>
          <w:lang w:eastAsia="en-GB"/>
        </w:rPr>
        <w:t xml:space="preserve">, Access &amp; Participation, </w:t>
      </w:r>
      <w:r w:rsidR="009E5D12" w:rsidRPr="00222FD3">
        <w:rPr>
          <w:rFonts w:ascii="Dia Regular" w:eastAsia="Times New Roman" w:hAnsi="Dia Regular" w:cstheme="minorHAnsi"/>
          <w:lang w:eastAsia="en-GB"/>
        </w:rPr>
        <w:t xml:space="preserve">Student and Academic Services, Wellbeing, </w:t>
      </w:r>
      <w:r w:rsidR="00DE1E87" w:rsidRPr="00222FD3">
        <w:rPr>
          <w:rFonts w:ascii="Dia Regular" w:eastAsia="Times New Roman" w:hAnsi="Dia Regular" w:cstheme="minorHAnsi"/>
          <w:lang w:eastAsia="en-GB"/>
        </w:rPr>
        <w:t xml:space="preserve">HR, </w:t>
      </w:r>
      <w:r w:rsidR="00D9563C" w:rsidRPr="00222FD3">
        <w:rPr>
          <w:rFonts w:ascii="Dia Regular" w:eastAsia="Times New Roman" w:hAnsi="Dia Regular" w:cstheme="minorHAnsi"/>
          <w:lang w:eastAsia="en-GB"/>
        </w:rPr>
        <w:t>Finance, Communications &amp; Marketing,</w:t>
      </w:r>
      <w:r w:rsidR="00DE1E87" w:rsidRPr="00222FD3">
        <w:rPr>
          <w:rFonts w:ascii="Dia Regular" w:eastAsia="Times New Roman" w:hAnsi="Dia Regular" w:cstheme="minorHAnsi"/>
          <w:lang w:eastAsia="en-GB"/>
        </w:rPr>
        <w:t xml:space="preserve"> and</w:t>
      </w:r>
      <w:r w:rsidR="00D9563C" w:rsidRPr="00222FD3">
        <w:rPr>
          <w:rFonts w:ascii="Dia Regular" w:eastAsia="Times New Roman" w:hAnsi="Dia Regular" w:cstheme="minorHAnsi"/>
          <w:lang w:eastAsia="en-GB"/>
        </w:rPr>
        <w:t xml:space="preserve"> </w:t>
      </w:r>
      <w:r w:rsidR="005675B3" w:rsidRPr="00222FD3">
        <w:rPr>
          <w:rFonts w:ascii="Dia Regular" w:eastAsia="Times New Roman" w:hAnsi="Dia Regular" w:cstheme="minorHAnsi"/>
          <w:lang w:eastAsia="en-GB"/>
        </w:rPr>
        <w:t>Developmen</w:t>
      </w:r>
      <w:r w:rsidR="00DE1E87" w:rsidRPr="00222FD3">
        <w:rPr>
          <w:rFonts w:ascii="Dia Regular" w:eastAsia="Times New Roman" w:hAnsi="Dia Regular" w:cstheme="minorHAnsi"/>
          <w:lang w:eastAsia="en-GB"/>
        </w:rPr>
        <w:t>t</w:t>
      </w:r>
      <w:r w:rsidR="00D9563C" w:rsidRPr="00222FD3">
        <w:rPr>
          <w:rFonts w:ascii="Dia Regular" w:eastAsia="Times New Roman" w:hAnsi="Dia Regular" w:cstheme="minorHAnsi"/>
          <w:lang w:eastAsia="en-GB"/>
        </w:rPr>
        <w:t>, and key</w:t>
      </w:r>
      <w:r w:rsidR="00B4159B" w:rsidRPr="00222FD3">
        <w:rPr>
          <w:rFonts w:ascii="Dia Regular" w:eastAsia="Times New Roman" w:hAnsi="Dia Regular" w:cstheme="minorHAnsi"/>
          <w:lang w:eastAsia="en-GB"/>
        </w:rPr>
        <w:t xml:space="preserve"> working relationships with the Decolonising Committee, Accountability Panel, Training Committee and the Council Anti-Racism Group</w:t>
      </w:r>
      <w:r w:rsidRPr="00222FD3">
        <w:rPr>
          <w:rFonts w:ascii="Dia Regular" w:eastAsia="Times New Roman" w:hAnsi="Dia Regular" w:cstheme="minorHAnsi"/>
          <w:lang w:eastAsia="en-GB"/>
        </w:rPr>
        <w:t xml:space="preserve">. </w:t>
      </w:r>
    </w:p>
    <w:p w14:paraId="36908FA4" w14:textId="68EE6805" w:rsidR="0015710C" w:rsidRPr="00222FD3" w:rsidRDefault="00817F60" w:rsidP="00E7715C">
      <w:pPr>
        <w:rPr>
          <w:rFonts w:ascii="Dia Regular" w:eastAsia="Times New Roman" w:hAnsi="Dia Regular" w:cs="Times New Roman"/>
          <w:lang w:eastAsia="en-GB"/>
        </w:rPr>
      </w:pPr>
      <w:r w:rsidRPr="00222FD3">
        <w:rPr>
          <w:rFonts w:ascii="Dia Regular" w:eastAsia="Times New Roman" w:hAnsi="Dia Regular" w:cstheme="minorHAnsi"/>
          <w:lang w:eastAsia="en-GB"/>
        </w:rPr>
        <w:t>The role will lead RADA’s anti-racism programme with a brief that will over time broaden to include all other protected characteristics</w:t>
      </w:r>
      <w:r w:rsidR="00E7715C" w:rsidRPr="00222FD3">
        <w:rPr>
          <w:rFonts w:ascii="Dia Regular" w:eastAsia="Times New Roman" w:hAnsi="Dia Regular" w:cs="Calibri"/>
          <w:i/>
          <w:iCs/>
          <w:color w:val="000000"/>
          <w:lang w:eastAsia="en-GB"/>
        </w:rPr>
        <w:t> </w:t>
      </w:r>
      <w:r w:rsidR="00E7715C" w:rsidRPr="00222FD3">
        <w:rPr>
          <w:rFonts w:ascii="Dia Regular" w:eastAsia="Times New Roman" w:hAnsi="Dia Regular" w:cs="Calibri"/>
          <w:color w:val="000000"/>
          <w:lang w:eastAsia="en-GB"/>
        </w:rPr>
        <w:t xml:space="preserve">(and those not included </w:t>
      </w:r>
      <w:proofErr w:type="gramStart"/>
      <w:r w:rsidR="00E7715C" w:rsidRPr="00222FD3">
        <w:rPr>
          <w:rFonts w:ascii="Dia Regular" w:eastAsia="Times New Roman" w:hAnsi="Dia Regular" w:cs="Calibri"/>
          <w:color w:val="000000"/>
          <w:lang w:eastAsia="en-GB"/>
        </w:rPr>
        <w:t>e.g.</w:t>
      </w:r>
      <w:proofErr w:type="gramEnd"/>
      <w:r w:rsidR="00E7715C" w:rsidRPr="00222FD3">
        <w:rPr>
          <w:rFonts w:ascii="Dia Regular" w:eastAsia="Times New Roman" w:hAnsi="Dia Regular" w:cs="Calibri"/>
          <w:color w:val="000000"/>
          <w:lang w:eastAsia="en-GB"/>
        </w:rPr>
        <w:t xml:space="preserve"> socio-economic status)</w:t>
      </w:r>
      <w:r w:rsidR="00E7715C" w:rsidRPr="00222FD3">
        <w:rPr>
          <w:rFonts w:ascii="Dia Regular" w:eastAsia="Times New Roman" w:hAnsi="Dia Regular" w:cs="Calibri"/>
          <w:i/>
          <w:iCs/>
          <w:color w:val="000000"/>
          <w:lang w:eastAsia="en-GB"/>
        </w:rPr>
        <w:t xml:space="preserve"> </w:t>
      </w:r>
      <w:r w:rsidRPr="00222FD3">
        <w:rPr>
          <w:rFonts w:ascii="Dia Regular" w:eastAsia="Times New Roman" w:hAnsi="Dia Regular" w:cstheme="minorHAnsi"/>
          <w:lang w:eastAsia="en-GB"/>
        </w:rPr>
        <w:t>and lead RADA’s equity agenda.</w:t>
      </w:r>
      <w:r w:rsidR="00A72450" w:rsidRPr="00222FD3">
        <w:rPr>
          <w:rFonts w:ascii="Dia Regular" w:eastAsia="Times New Roman" w:hAnsi="Dia Regular" w:cstheme="minorHAnsi"/>
          <w:lang w:eastAsia="en-GB"/>
        </w:rPr>
        <w:t xml:space="preserve"> </w:t>
      </w:r>
    </w:p>
    <w:p w14:paraId="239B1271" w14:textId="77777777" w:rsidR="00BD7EEB" w:rsidRPr="00222FD3" w:rsidRDefault="00BD7EEB" w:rsidP="00BD7EEB">
      <w:pPr>
        <w:jc w:val="center"/>
        <w:rPr>
          <w:rFonts w:ascii="Dia Regular" w:hAnsi="Dia Regular" w:cs="Arial"/>
          <w:b/>
        </w:rPr>
      </w:pPr>
      <w:r w:rsidRPr="00222FD3">
        <w:rPr>
          <w:rFonts w:ascii="Dia Regular" w:hAnsi="Dia Regular" w:cs="Arial"/>
          <w:b/>
        </w:rPr>
        <w:t>Job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97"/>
        <w:gridCol w:w="5529"/>
      </w:tblGrid>
      <w:tr w:rsidR="00BD7EEB" w:rsidRPr="00222FD3" w14:paraId="4A13F033" w14:textId="77777777" w:rsidTr="00630C91">
        <w:tc>
          <w:tcPr>
            <w:tcW w:w="3397" w:type="dxa"/>
          </w:tcPr>
          <w:p w14:paraId="0F1F2C4E" w14:textId="77777777" w:rsidR="00BD7EEB" w:rsidRPr="00222FD3" w:rsidRDefault="00BD7EEB" w:rsidP="00630C91">
            <w:pPr>
              <w:rPr>
                <w:rFonts w:ascii="Dia Regular" w:hAnsi="Dia Regular" w:cs="Arial"/>
              </w:rPr>
            </w:pPr>
            <w:r w:rsidRPr="00222FD3">
              <w:rPr>
                <w:rFonts w:ascii="Dia Regular" w:hAnsi="Dia Regular" w:cs="Arial"/>
              </w:rPr>
              <w:t>Job Title:</w:t>
            </w:r>
          </w:p>
        </w:tc>
        <w:tc>
          <w:tcPr>
            <w:tcW w:w="5529" w:type="dxa"/>
          </w:tcPr>
          <w:p w14:paraId="39F3691A" w14:textId="2BA21CE6" w:rsidR="00BD7EEB" w:rsidRPr="00222FD3" w:rsidRDefault="00BD7EEB" w:rsidP="00630C91">
            <w:pPr>
              <w:rPr>
                <w:rFonts w:ascii="Dia Regular" w:hAnsi="Dia Regular" w:cs="Arial"/>
              </w:rPr>
            </w:pPr>
            <w:r w:rsidRPr="00222FD3">
              <w:rPr>
                <w:rFonts w:ascii="Dia Regular" w:hAnsi="Dia Regular" w:cs="Arial"/>
              </w:rPr>
              <w:t>Director of Equity</w:t>
            </w:r>
          </w:p>
        </w:tc>
      </w:tr>
      <w:tr w:rsidR="00BD7EEB" w:rsidRPr="00222FD3" w14:paraId="2D2BCFC3" w14:textId="77777777" w:rsidTr="00630C91">
        <w:tc>
          <w:tcPr>
            <w:tcW w:w="3397" w:type="dxa"/>
          </w:tcPr>
          <w:p w14:paraId="3EF0D10B" w14:textId="77777777" w:rsidR="00BD7EEB" w:rsidRPr="00222FD3" w:rsidRDefault="00BD7EEB" w:rsidP="00630C91">
            <w:pPr>
              <w:rPr>
                <w:rFonts w:ascii="Dia Regular" w:hAnsi="Dia Regular" w:cs="Arial"/>
              </w:rPr>
            </w:pPr>
            <w:r w:rsidRPr="00222FD3">
              <w:rPr>
                <w:rFonts w:ascii="Dia Regular" w:hAnsi="Dia Regular" w:cs="Arial"/>
              </w:rPr>
              <w:t>Reports to (Title):</w:t>
            </w:r>
          </w:p>
        </w:tc>
        <w:tc>
          <w:tcPr>
            <w:tcW w:w="5529" w:type="dxa"/>
          </w:tcPr>
          <w:p w14:paraId="76D38F42" w14:textId="39E3D1D0" w:rsidR="00BD7EEB" w:rsidRPr="00222FD3" w:rsidRDefault="00BD7EEB" w:rsidP="00630C91">
            <w:pPr>
              <w:rPr>
                <w:rFonts w:ascii="Dia Regular" w:hAnsi="Dia Regular" w:cs="Arial"/>
              </w:rPr>
            </w:pPr>
            <w:r w:rsidRPr="00222FD3">
              <w:rPr>
                <w:rFonts w:ascii="Dia Regular" w:hAnsi="Dia Regular" w:cs="Arial"/>
              </w:rPr>
              <w:t>Interim Accountable Officer.</w:t>
            </w:r>
            <w:r w:rsidR="002B405C">
              <w:rPr>
                <w:rFonts w:ascii="Dia Regular" w:hAnsi="Dia Regular" w:cs="Arial"/>
              </w:rPr>
              <w:t xml:space="preserve"> </w:t>
            </w:r>
            <w:r w:rsidRPr="00222FD3">
              <w:rPr>
                <w:rFonts w:ascii="Dia Regular" w:hAnsi="Dia Regular" w:cs="Arial"/>
              </w:rPr>
              <w:t xml:space="preserve">RADA is appointing a new Principal; when they take </w:t>
            </w:r>
            <w:proofErr w:type="gramStart"/>
            <w:r w:rsidRPr="00222FD3">
              <w:rPr>
                <w:rFonts w:ascii="Dia Regular" w:hAnsi="Dia Regular" w:cs="Arial"/>
              </w:rPr>
              <w:t>office</w:t>
            </w:r>
            <w:proofErr w:type="gramEnd"/>
            <w:r w:rsidRPr="00222FD3">
              <w:rPr>
                <w:rFonts w:ascii="Dia Regular" w:hAnsi="Dia Regular" w:cs="Arial"/>
              </w:rPr>
              <w:t xml:space="preserve"> we are likely to review senior reporting lines and accountabilities.</w:t>
            </w:r>
          </w:p>
        </w:tc>
      </w:tr>
      <w:tr w:rsidR="00BD7EEB" w:rsidRPr="00222FD3" w14:paraId="7C168655" w14:textId="77777777" w:rsidTr="00630C91">
        <w:tc>
          <w:tcPr>
            <w:tcW w:w="3397" w:type="dxa"/>
            <w:tcBorders>
              <w:bottom w:val="single" w:sz="4" w:space="0" w:color="000000"/>
            </w:tcBorders>
          </w:tcPr>
          <w:p w14:paraId="613F33CC" w14:textId="77777777" w:rsidR="00BD7EEB" w:rsidRPr="00222FD3" w:rsidRDefault="00BD7EEB" w:rsidP="00630C91">
            <w:pPr>
              <w:rPr>
                <w:rFonts w:ascii="Dia Regular" w:hAnsi="Dia Regular" w:cs="Arial"/>
              </w:rPr>
            </w:pPr>
            <w:r w:rsidRPr="00222FD3">
              <w:rPr>
                <w:rFonts w:ascii="Dia Regular" w:hAnsi="Dia Regular" w:cs="Arial"/>
              </w:rPr>
              <w:t>Department:</w:t>
            </w:r>
          </w:p>
        </w:tc>
        <w:tc>
          <w:tcPr>
            <w:tcW w:w="5529" w:type="dxa"/>
          </w:tcPr>
          <w:p w14:paraId="50B2F2B9" w14:textId="2F7E4824" w:rsidR="00BD7EEB" w:rsidRPr="00222FD3" w:rsidRDefault="00BD7EEB" w:rsidP="00630C91">
            <w:pPr>
              <w:rPr>
                <w:rFonts w:ascii="Dia Regular" w:hAnsi="Dia Regular" w:cs="Arial"/>
              </w:rPr>
            </w:pPr>
            <w:r w:rsidRPr="00222FD3">
              <w:rPr>
                <w:rFonts w:ascii="Dia Regular" w:hAnsi="Dia Regular" w:cs="Arial"/>
              </w:rPr>
              <w:t>Equity</w:t>
            </w:r>
          </w:p>
        </w:tc>
      </w:tr>
      <w:tr w:rsidR="00BD7EEB" w:rsidRPr="00222FD3" w14:paraId="0E2FA5B9" w14:textId="77777777" w:rsidTr="00630C91">
        <w:tc>
          <w:tcPr>
            <w:tcW w:w="3397" w:type="dxa"/>
          </w:tcPr>
          <w:p w14:paraId="072C7700" w14:textId="77777777" w:rsidR="00BD7EEB" w:rsidRPr="00222FD3" w:rsidRDefault="00BD7EEB" w:rsidP="00630C91">
            <w:pPr>
              <w:rPr>
                <w:rFonts w:ascii="Dia Regular" w:hAnsi="Dia Regular" w:cs="Arial"/>
              </w:rPr>
            </w:pPr>
            <w:r w:rsidRPr="00222FD3">
              <w:rPr>
                <w:rFonts w:ascii="Dia Regular" w:hAnsi="Dia Regular" w:cs="Arial"/>
              </w:rPr>
              <w:t>Working hours</w:t>
            </w:r>
          </w:p>
        </w:tc>
        <w:tc>
          <w:tcPr>
            <w:tcW w:w="5529" w:type="dxa"/>
          </w:tcPr>
          <w:p w14:paraId="4FDDE1E3" w14:textId="77777777" w:rsidR="00BD7EEB" w:rsidRPr="00222FD3" w:rsidRDefault="00BD7EEB" w:rsidP="00630C91">
            <w:pPr>
              <w:rPr>
                <w:rFonts w:ascii="Dia Regular" w:hAnsi="Dia Regular" w:cs="Arial"/>
              </w:rPr>
            </w:pPr>
            <w:r w:rsidRPr="00222FD3">
              <w:rPr>
                <w:rFonts w:ascii="Dia Regular" w:hAnsi="Dia Regular" w:cs="Arial"/>
              </w:rPr>
              <w:t xml:space="preserve">Full-time, 37.5 hours per week. </w:t>
            </w:r>
          </w:p>
        </w:tc>
      </w:tr>
      <w:tr w:rsidR="00BD7EEB" w:rsidRPr="00222FD3" w14:paraId="4229C04F" w14:textId="77777777" w:rsidTr="00630C91">
        <w:tc>
          <w:tcPr>
            <w:tcW w:w="3397" w:type="dxa"/>
          </w:tcPr>
          <w:p w14:paraId="54F55F08" w14:textId="77777777" w:rsidR="00BD7EEB" w:rsidRPr="00222FD3" w:rsidRDefault="00BD7EEB" w:rsidP="00630C91">
            <w:pPr>
              <w:rPr>
                <w:rFonts w:ascii="Dia Regular" w:hAnsi="Dia Regular" w:cs="Arial"/>
              </w:rPr>
            </w:pPr>
            <w:r w:rsidRPr="00222FD3">
              <w:rPr>
                <w:rFonts w:ascii="Dia Regular" w:hAnsi="Dia Regular" w:cs="Arial"/>
              </w:rPr>
              <w:t>Salary Band (Manager, Head of Department etc)</w:t>
            </w:r>
          </w:p>
        </w:tc>
        <w:tc>
          <w:tcPr>
            <w:tcW w:w="5529" w:type="dxa"/>
          </w:tcPr>
          <w:p w14:paraId="644B91EB" w14:textId="77777777" w:rsidR="00BD7EEB" w:rsidRPr="00222FD3" w:rsidRDefault="00BD7EEB" w:rsidP="00630C91">
            <w:pPr>
              <w:rPr>
                <w:rFonts w:ascii="Dia Regular" w:hAnsi="Dia Regular" w:cs="Arial"/>
              </w:rPr>
            </w:pPr>
            <w:r w:rsidRPr="00222FD3">
              <w:rPr>
                <w:rFonts w:ascii="Dia Regular" w:hAnsi="Dia Regular" w:cs="Arial"/>
              </w:rPr>
              <w:t>Senior Leadership Team</w:t>
            </w:r>
          </w:p>
        </w:tc>
      </w:tr>
      <w:tr w:rsidR="00BD7EEB" w:rsidRPr="00222FD3" w14:paraId="6872E855" w14:textId="77777777" w:rsidTr="00630C91">
        <w:tc>
          <w:tcPr>
            <w:tcW w:w="3397" w:type="dxa"/>
          </w:tcPr>
          <w:p w14:paraId="56C36BAB" w14:textId="77777777" w:rsidR="00BD7EEB" w:rsidRPr="00222FD3" w:rsidRDefault="00BD7EEB" w:rsidP="00630C91">
            <w:pPr>
              <w:rPr>
                <w:rFonts w:ascii="Dia Regular" w:hAnsi="Dia Regular" w:cs="Arial"/>
              </w:rPr>
            </w:pPr>
            <w:r w:rsidRPr="00222FD3">
              <w:rPr>
                <w:rFonts w:ascii="Dia Regular" w:hAnsi="Dia Regular" w:cs="Arial"/>
              </w:rPr>
              <w:t>Salary range (£)</w:t>
            </w:r>
          </w:p>
        </w:tc>
        <w:tc>
          <w:tcPr>
            <w:tcW w:w="5529" w:type="dxa"/>
          </w:tcPr>
          <w:p w14:paraId="22065837" w14:textId="57BA6E8E" w:rsidR="00BD7EEB" w:rsidRPr="00222FD3" w:rsidRDefault="00BD7EEB" w:rsidP="00630C91">
            <w:pPr>
              <w:rPr>
                <w:rFonts w:ascii="Dia Regular" w:hAnsi="Dia Regular" w:cs="Arial"/>
              </w:rPr>
            </w:pPr>
            <w:r w:rsidRPr="00222FD3">
              <w:rPr>
                <w:rFonts w:ascii="Dia Regular" w:hAnsi="Dia Regular" w:cs="Arial"/>
              </w:rPr>
              <w:t>£</w:t>
            </w:r>
            <w:r w:rsidR="0018251B">
              <w:rPr>
                <w:rFonts w:ascii="Dia Regular" w:hAnsi="Dia Regular" w:cs="Arial"/>
              </w:rPr>
              <w:t>55-65</w:t>
            </w:r>
            <w:r w:rsidRPr="00222FD3">
              <w:rPr>
                <w:rFonts w:ascii="Dia Regular" w:hAnsi="Dia Regular" w:cs="Arial"/>
              </w:rPr>
              <w:t>k</w:t>
            </w:r>
          </w:p>
        </w:tc>
      </w:tr>
      <w:tr w:rsidR="00BD7EEB" w:rsidRPr="00222FD3" w14:paraId="5CC57FD8" w14:textId="77777777" w:rsidTr="00630C91">
        <w:tc>
          <w:tcPr>
            <w:tcW w:w="3397" w:type="dxa"/>
          </w:tcPr>
          <w:p w14:paraId="1B47E11E" w14:textId="77777777" w:rsidR="00BD7EEB" w:rsidRPr="00222FD3" w:rsidRDefault="00BD7EEB" w:rsidP="00630C91">
            <w:pPr>
              <w:rPr>
                <w:rFonts w:ascii="Dia Regular" w:hAnsi="Dia Regular" w:cs="Arial"/>
              </w:rPr>
            </w:pPr>
            <w:r w:rsidRPr="00222FD3">
              <w:rPr>
                <w:rFonts w:ascii="Dia Regular" w:hAnsi="Dia Regular" w:cs="Arial"/>
              </w:rPr>
              <w:t>Length of role</w:t>
            </w:r>
          </w:p>
        </w:tc>
        <w:tc>
          <w:tcPr>
            <w:tcW w:w="5529" w:type="dxa"/>
          </w:tcPr>
          <w:p w14:paraId="2F940661" w14:textId="77777777" w:rsidR="00BD7EEB" w:rsidRPr="00222FD3" w:rsidRDefault="00BD7EEB" w:rsidP="00630C91">
            <w:pPr>
              <w:rPr>
                <w:rFonts w:ascii="Dia Regular" w:hAnsi="Dia Regular" w:cs="Arial"/>
              </w:rPr>
            </w:pPr>
            <w:r w:rsidRPr="00222FD3">
              <w:rPr>
                <w:rFonts w:ascii="Dia Regular" w:hAnsi="Dia Regular" w:cs="Arial"/>
              </w:rPr>
              <w:t>Permanent</w:t>
            </w:r>
          </w:p>
        </w:tc>
      </w:tr>
      <w:tr w:rsidR="00BD7EEB" w:rsidRPr="00222FD3" w14:paraId="0C4CA25C" w14:textId="77777777" w:rsidTr="00630C91">
        <w:tc>
          <w:tcPr>
            <w:tcW w:w="3397" w:type="dxa"/>
            <w:tcBorders>
              <w:bottom w:val="single" w:sz="4" w:space="0" w:color="auto"/>
            </w:tcBorders>
          </w:tcPr>
          <w:p w14:paraId="1FC65BAF" w14:textId="77777777" w:rsidR="00BD7EEB" w:rsidRPr="00222FD3" w:rsidRDefault="00BD7EEB" w:rsidP="00630C91">
            <w:pPr>
              <w:rPr>
                <w:rFonts w:ascii="Dia Regular" w:hAnsi="Dia Regular" w:cs="Arial"/>
              </w:rPr>
            </w:pPr>
            <w:r w:rsidRPr="00222FD3">
              <w:rPr>
                <w:rFonts w:ascii="Dia Regular" w:hAnsi="Dia Regular" w:cs="Arial"/>
              </w:rPr>
              <w:t>HESA Category (Professional Services, Academic etc)</w:t>
            </w:r>
          </w:p>
        </w:tc>
        <w:tc>
          <w:tcPr>
            <w:tcW w:w="5529" w:type="dxa"/>
          </w:tcPr>
          <w:p w14:paraId="17B816BA" w14:textId="77777777" w:rsidR="00BD7EEB" w:rsidRPr="00222FD3" w:rsidRDefault="00BD7EEB" w:rsidP="00630C91">
            <w:pPr>
              <w:rPr>
                <w:rFonts w:ascii="Dia Regular" w:hAnsi="Dia Regular" w:cs="Arial"/>
              </w:rPr>
            </w:pPr>
            <w:r w:rsidRPr="00222FD3">
              <w:rPr>
                <w:rFonts w:ascii="Dia Regular" w:hAnsi="Dia Regular" w:cs="Arial"/>
              </w:rPr>
              <w:t>Professional Services</w:t>
            </w:r>
          </w:p>
        </w:tc>
      </w:tr>
    </w:tbl>
    <w:p w14:paraId="72FD4D27" w14:textId="77777777" w:rsidR="00BD7EEB" w:rsidRPr="00222FD3" w:rsidRDefault="00BD7EEB" w:rsidP="00BD7EEB">
      <w:pPr>
        <w:rPr>
          <w:rFonts w:ascii="Dia Regular" w:hAnsi="Dia Regular" w:cs="Arial"/>
          <w:b/>
        </w:rPr>
      </w:pPr>
    </w:p>
    <w:tbl>
      <w:tblPr>
        <w:tblStyle w:val="TableGrid"/>
        <w:tblW w:w="0" w:type="auto"/>
        <w:tblLook w:val="04A0" w:firstRow="1" w:lastRow="0" w:firstColumn="1" w:lastColumn="0" w:noHBand="0" w:noVBand="1"/>
      </w:tblPr>
      <w:tblGrid>
        <w:gridCol w:w="8926"/>
      </w:tblGrid>
      <w:tr w:rsidR="00BD7EEB" w:rsidRPr="00222FD3" w14:paraId="7BBDCFAC" w14:textId="77777777" w:rsidTr="00630C91">
        <w:tc>
          <w:tcPr>
            <w:tcW w:w="8926" w:type="dxa"/>
          </w:tcPr>
          <w:p w14:paraId="7A85D809" w14:textId="77777777" w:rsidR="00BD7EEB" w:rsidRPr="00222FD3" w:rsidRDefault="00BD7EEB" w:rsidP="00630C91">
            <w:pPr>
              <w:spacing w:after="160" w:line="259" w:lineRule="auto"/>
              <w:rPr>
                <w:rFonts w:ascii="Dia Regular" w:hAnsi="Dia Regular" w:cs="Arial"/>
                <w:b/>
              </w:rPr>
            </w:pPr>
            <w:r w:rsidRPr="00222FD3">
              <w:rPr>
                <w:rFonts w:ascii="Dia Regular" w:hAnsi="Dia Regular" w:cs="Arial"/>
                <w:b/>
              </w:rPr>
              <w:lastRenderedPageBreak/>
              <w:t>Prime function of role</w:t>
            </w:r>
          </w:p>
        </w:tc>
      </w:tr>
      <w:tr w:rsidR="00BD7EEB" w:rsidRPr="00222FD3" w14:paraId="2B865FA9" w14:textId="77777777" w:rsidTr="00630C91">
        <w:tc>
          <w:tcPr>
            <w:tcW w:w="8926" w:type="dxa"/>
          </w:tcPr>
          <w:p w14:paraId="19F27C73" w14:textId="3F679F78" w:rsidR="00182DE1" w:rsidRPr="00222FD3" w:rsidRDefault="00182DE1" w:rsidP="00182DE1">
            <w:pPr>
              <w:rPr>
                <w:rFonts w:ascii="Dia Regular" w:hAnsi="Dia Regular" w:cstheme="minorHAnsi"/>
              </w:rPr>
            </w:pPr>
            <w:r w:rsidRPr="00222FD3">
              <w:rPr>
                <w:rFonts w:ascii="Dia Regular" w:hAnsi="Dia Regular" w:cstheme="minorHAnsi"/>
              </w:rPr>
              <w:t>The Director of Equity’s initial primary focus will be to provide leadership and management of RADA’s anti-racism strategy, and there is an expectation that over time this remit will broaden to include oversight and strategic leadership of RADA’s ED&amp;I activity.</w:t>
            </w:r>
          </w:p>
          <w:p w14:paraId="055D9FA1" w14:textId="77777777" w:rsidR="00182DE1" w:rsidRPr="00222FD3" w:rsidRDefault="00182DE1" w:rsidP="00182DE1">
            <w:pPr>
              <w:rPr>
                <w:rFonts w:ascii="Dia Regular" w:hAnsi="Dia Regular" w:cstheme="minorHAnsi"/>
                <w:b/>
                <w:bCs/>
              </w:rPr>
            </w:pPr>
          </w:p>
          <w:p w14:paraId="069D1974" w14:textId="77777777" w:rsidR="00182DE1" w:rsidRPr="00222FD3" w:rsidRDefault="00182DE1" w:rsidP="00182DE1">
            <w:pPr>
              <w:rPr>
                <w:rFonts w:ascii="Dia Regular" w:eastAsia="Times New Roman" w:hAnsi="Dia Regular" w:cs="Times New Roman"/>
                <w:lang w:eastAsia="en-GB"/>
              </w:rPr>
            </w:pPr>
            <w:r w:rsidRPr="00222FD3">
              <w:rPr>
                <w:rFonts w:ascii="Dia Regular" w:hAnsi="Dia Regular" w:cstheme="minorHAnsi"/>
              </w:rPr>
              <w:t xml:space="preserve">Building on the work done so far, the Director of Equity will be responsible for developing, aligning, and integrating a range of new and existing initiatives, policies, and procedures into a cohesive, transformational, and sustainable plan and programme of activity. </w:t>
            </w:r>
            <w:r w:rsidRPr="00222FD3">
              <w:rPr>
                <w:rFonts w:ascii="Dia Regular" w:eastAsia="Times New Roman" w:hAnsi="Dia Regular" w:cs="Calibri"/>
                <w:color w:val="000000"/>
                <w:shd w:val="clear" w:color="auto" w:fill="FFFFFF"/>
                <w:lang w:eastAsia="en-GB"/>
              </w:rPr>
              <w:t>They will also assess and outline the historical basis of RADA’s formation in order to create a framework on which to build a future vision.</w:t>
            </w:r>
          </w:p>
          <w:p w14:paraId="53E62A2A" w14:textId="77777777" w:rsidR="00182DE1" w:rsidRPr="00222FD3" w:rsidRDefault="00182DE1" w:rsidP="00182DE1">
            <w:pPr>
              <w:rPr>
                <w:rFonts w:ascii="Dia Regular" w:hAnsi="Dia Regular" w:cstheme="minorHAnsi"/>
              </w:rPr>
            </w:pPr>
          </w:p>
          <w:p w14:paraId="3FEC81D9" w14:textId="73C19F94" w:rsidR="00182DE1" w:rsidRPr="00222FD3" w:rsidRDefault="00182DE1" w:rsidP="00182DE1">
            <w:pPr>
              <w:rPr>
                <w:rFonts w:ascii="Dia Regular" w:hAnsi="Dia Regular" w:cstheme="minorHAnsi"/>
              </w:rPr>
            </w:pPr>
            <w:r w:rsidRPr="00222FD3">
              <w:rPr>
                <w:rFonts w:ascii="Dia Regular" w:hAnsi="Dia Regular" w:cstheme="minorHAnsi"/>
              </w:rPr>
              <w:t xml:space="preserve">The first aim of this work is to create the conditions for an inclusive, welcoming, supportive, and diverse higher education community within the Academy and with its partners and affiliates. The second is to create a foundation on which to build a world leading anti-racist HE institution, that has the potential to contribute significant change in attitudes and practice in the performing arts. </w:t>
            </w:r>
          </w:p>
          <w:p w14:paraId="6613E487" w14:textId="77777777" w:rsidR="00182DE1" w:rsidRPr="00222FD3" w:rsidRDefault="00182DE1" w:rsidP="00182DE1">
            <w:pPr>
              <w:rPr>
                <w:rFonts w:ascii="Dia Regular" w:hAnsi="Dia Regular" w:cstheme="minorHAnsi"/>
              </w:rPr>
            </w:pPr>
          </w:p>
          <w:p w14:paraId="6F3E2D95" w14:textId="77777777" w:rsidR="00182DE1" w:rsidRPr="00222FD3" w:rsidRDefault="00182DE1" w:rsidP="00182DE1">
            <w:pPr>
              <w:rPr>
                <w:rFonts w:ascii="Dia Regular" w:hAnsi="Dia Regular" w:cstheme="minorHAnsi"/>
              </w:rPr>
            </w:pPr>
            <w:r w:rsidRPr="00222FD3">
              <w:rPr>
                <w:rFonts w:ascii="Dia Regular" w:hAnsi="Dia Regular" w:cstheme="minorHAnsi"/>
              </w:rPr>
              <w:t>Measures of success will include student satisfaction, an improvement in staff recruitment and experience, working practices that are transparent and open to scrutiny, and the full embedding of the anti-racism and equality, diversity and inclusion strategies.</w:t>
            </w:r>
          </w:p>
          <w:p w14:paraId="1BB28ADF" w14:textId="2E414B4C" w:rsidR="00BD7EEB" w:rsidRPr="00222FD3" w:rsidRDefault="00BD7EEB" w:rsidP="00630C91">
            <w:pPr>
              <w:rPr>
                <w:rFonts w:ascii="Dia Regular" w:hAnsi="Dia Regular" w:cs="Arial"/>
              </w:rPr>
            </w:pPr>
          </w:p>
        </w:tc>
      </w:tr>
    </w:tbl>
    <w:p w14:paraId="5D109748" w14:textId="77777777" w:rsidR="00BD7EEB" w:rsidRPr="00222FD3" w:rsidRDefault="00BD7EEB" w:rsidP="00BD7EEB">
      <w:pPr>
        <w:rPr>
          <w:rFonts w:ascii="Dia Regular" w:hAnsi="Dia Regular" w:cs="Arial"/>
        </w:rPr>
      </w:pPr>
    </w:p>
    <w:p w14:paraId="60888A88" w14:textId="77777777" w:rsidR="00BD7EEB" w:rsidRPr="00222FD3" w:rsidRDefault="00BD7EEB" w:rsidP="00BD7EEB">
      <w:pPr>
        <w:rPr>
          <w:rFonts w:ascii="Dia Regular" w:hAnsi="Dia Regular" w:cs="Arial"/>
        </w:rPr>
      </w:pPr>
    </w:p>
    <w:tbl>
      <w:tblPr>
        <w:tblStyle w:val="TableGrid"/>
        <w:tblW w:w="0" w:type="auto"/>
        <w:tblLook w:val="04A0" w:firstRow="1" w:lastRow="0" w:firstColumn="1" w:lastColumn="0" w:noHBand="0" w:noVBand="1"/>
      </w:tblPr>
      <w:tblGrid>
        <w:gridCol w:w="8926"/>
      </w:tblGrid>
      <w:tr w:rsidR="00BD7EEB" w:rsidRPr="00222FD3" w14:paraId="78242DE1" w14:textId="77777777" w:rsidTr="00630C91">
        <w:tc>
          <w:tcPr>
            <w:tcW w:w="8926" w:type="dxa"/>
          </w:tcPr>
          <w:p w14:paraId="71377A64" w14:textId="77777777" w:rsidR="00BD7EEB" w:rsidRPr="00222FD3" w:rsidRDefault="00BD7EEB" w:rsidP="00630C91">
            <w:pPr>
              <w:rPr>
                <w:rFonts w:ascii="Dia Regular" w:hAnsi="Dia Regular" w:cs="Arial"/>
                <w:b/>
              </w:rPr>
            </w:pPr>
            <w:r w:rsidRPr="00222FD3">
              <w:rPr>
                <w:rFonts w:ascii="Dia Regular" w:hAnsi="Dia Regular" w:cs="Arial"/>
                <w:b/>
              </w:rPr>
              <w:t>Substantive responsibilities and duties</w:t>
            </w:r>
          </w:p>
          <w:p w14:paraId="785F393F" w14:textId="77777777" w:rsidR="00BD7EEB" w:rsidRPr="00222FD3" w:rsidRDefault="00BD7EEB" w:rsidP="00630C91">
            <w:pPr>
              <w:rPr>
                <w:rFonts w:ascii="Dia Regular" w:hAnsi="Dia Regular" w:cs="Arial"/>
              </w:rPr>
            </w:pPr>
          </w:p>
        </w:tc>
      </w:tr>
      <w:tr w:rsidR="00BD7EEB" w:rsidRPr="00222FD3" w14:paraId="7DB50937" w14:textId="77777777" w:rsidTr="00630C91">
        <w:tc>
          <w:tcPr>
            <w:tcW w:w="8926" w:type="dxa"/>
          </w:tcPr>
          <w:p w14:paraId="09EEC0C6" w14:textId="3787A77E" w:rsidR="009F1096" w:rsidRPr="00222FD3" w:rsidRDefault="009F1096" w:rsidP="009F1096">
            <w:pPr>
              <w:rPr>
                <w:rFonts w:ascii="Dia Regular" w:hAnsi="Dia Regular" w:cstheme="minorHAnsi"/>
                <w:b/>
                <w:bCs/>
              </w:rPr>
            </w:pPr>
            <w:r w:rsidRPr="00222FD3">
              <w:rPr>
                <w:rFonts w:ascii="Dia Regular" w:hAnsi="Dia Regular" w:cstheme="minorHAnsi"/>
              </w:rPr>
              <w:t>1. Strategic leadership and management</w:t>
            </w:r>
          </w:p>
          <w:p w14:paraId="27660EEC" w14:textId="77777777" w:rsidR="009F1096" w:rsidRPr="00222FD3" w:rsidRDefault="009F1096" w:rsidP="009F1096">
            <w:pPr>
              <w:pStyle w:val="ListParagraph"/>
              <w:numPr>
                <w:ilvl w:val="0"/>
                <w:numId w:val="5"/>
              </w:numPr>
              <w:rPr>
                <w:rFonts w:ascii="Dia Regular" w:hAnsi="Dia Regular" w:cstheme="minorHAnsi"/>
              </w:rPr>
            </w:pPr>
            <w:r w:rsidRPr="00222FD3">
              <w:rPr>
                <w:rFonts w:ascii="Dia Regular" w:hAnsi="Dia Regular" w:cstheme="minorHAnsi"/>
              </w:rPr>
              <w:t>Development of a long-term anti-racism strategy and plan to deliver the strategy</w:t>
            </w:r>
          </w:p>
          <w:p w14:paraId="115746E8" w14:textId="77777777" w:rsidR="009F1096" w:rsidRPr="00222FD3" w:rsidRDefault="009F1096" w:rsidP="009F1096">
            <w:pPr>
              <w:pStyle w:val="ListParagraph"/>
              <w:numPr>
                <w:ilvl w:val="0"/>
                <w:numId w:val="5"/>
              </w:numPr>
              <w:rPr>
                <w:rFonts w:ascii="Dia Regular" w:hAnsi="Dia Regular" w:cstheme="minorHAnsi"/>
              </w:rPr>
            </w:pPr>
            <w:r w:rsidRPr="00222FD3">
              <w:rPr>
                <w:rFonts w:ascii="Dia Regular" w:hAnsi="Dia Regular" w:cstheme="minorHAnsi"/>
              </w:rPr>
              <w:t>Development of RADA’s ED&amp;I strategy</w:t>
            </w:r>
          </w:p>
          <w:p w14:paraId="5C47FD95" w14:textId="77777777" w:rsidR="009F1096" w:rsidRPr="00222FD3" w:rsidRDefault="009F1096" w:rsidP="009F1096">
            <w:pPr>
              <w:pStyle w:val="ListParagraph"/>
              <w:numPr>
                <w:ilvl w:val="0"/>
                <w:numId w:val="5"/>
              </w:numPr>
              <w:rPr>
                <w:rFonts w:ascii="Dia Regular" w:hAnsi="Dia Regular" w:cstheme="minorHAnsi"/>
              </w:rPr>
            </w:pPr>
            <w:r w:rsidRPr="00222FD3">
              <w:rPr>
                <w:rFonts w:ascii="Dia Regular" w:hAnsi="Dia Regular" w:cstheme="minorHAnsi"/>
              </w:rPr>
              <w:t>Planning and management of the budget and resources for delivery of the work</w:t>
            </w:r>
          </w:p>
          <w:p w14:paraId="50D82C06" w14:textId="77777777" w:rsidR="009F1096" w:rsidRPr="00222FD3" w:rsidRDefault="009F1096" w:rsidP="009F1096">
            <w:pPr>
              <w:pStyle w:val="ListParagraph"/>
              <w:numPr>
                <w:ilvl w:val="0"/>
                <w:numId w:val="5"/>
              </w:numPr>
              <w:rPr>
                <w:rFonts w:ascii="Dia Regular" w:hAnsi="Dia Regular" w:cstheme="minorHAnsi"/>
              </w:rPr>
            </w:pPr>
            <w:r w:rsidRPr="00222FD3">
              <w:rPr>
                <w:rFonts w:ascii="Dia Regular" w:hAnsi="Dia Regular" w:cstheme="minorHAnsi"/>
              </w:rPr>
              <w:t>Coordination of activities and direction as necessary, to meet the objectives of the plan</w:t>
            </w:r>
          </w:p>
          <w:p w14:paraId="101DB56E" w14:textId="77777777" w:rsidR="009F1096" w:rsidRPr="00222FD3" w:rsidRDefault="009F1096" w:rsidP="009F1096">
            <w:pPr>
              <w:pStyle w:val="ListParagraph"/>
              <w:numPr>
                <w:ilvl w:val="0"/>
                <w:numId w:val="5"/>
              </w:numPr>
              <w:rPr>
                <w:rFonts w:ascii="Dia Regular" w:hAnsi="Dia Regular" w:cstheme="minorHAnsi"/>
              </w:rPr>
            </w:pPr>
            <w:r w:rsidRPr="00222FD3">
              <w:rPr>
                <w:rFonts w:ascii="Dia Regular" w:hAnsi="Dia Regular" w:cstheme="minorHAnsi"/>
              </w:rPr>
              <w:t>Development and monitoring of risks and contingencies</w:t>
            </w:r>
          </w:p>
          <w:p w14:paraId="5EC5E8DE" w14:textId="77777777" w:rsidR="009F1096" w:rsidRPr="00222FD3" w:rsidRDefault="009F1096" w:rsidP="009F1096">
            <w:pPr>
              <w:pStyle w:val="ListParagraph"/>
              <w:numPr>
                <w:ilvl w:val="0"/>
                <w:numId w:val="5"/>
              </w:numPr>
              <w:rPr>
                <w:rFonts w:ascii="Dia Regular" w:hAnsi="Dia Regular" w:cstheme="minorHAnsi"/>
              </w:rPr>
            </w:pPr>
            <w:r w:rsidRPr="00222FD3">
              <w:rPr>
                <w:rFonts w:ascii="Dia Regular" w:hAnsi="Dia Regular" w:cstheme="minorHAnsi"/>
              </w:rPr>
              <w:t>Leadership of working groups as appropriate</w:t>
            </w:r>
          </w:p>
          <w:p w14:paraId="6983776B" w14:textId="77777777" w:rsidR="009F1096" w:rsidRPr="00222FD3" w:rsidRDefault="009F1096" w:rsidP="009F1096">
            <w:pPr>
              <w:pStyle w:val="ListParagraph"/>
              <w:numPr>
                <w:ilvl w:val="0"/>
                <w:numId w:val="5"/>
              </w:numPr>
              <w:rPr>
                <w:rFonts w:ascii="Dia Regular" w:hAnsi="Dia Regular" w:cstheme="minorHAnsi"/>
              </w:rPr>
            </w:pPr>
            <w:r w:rsidRPr="00222FD3">
              <w:rPr>
                <w:rFonts w:ascii="Dia Regular" w:hAnsi="Dia Regular" w:cstheme="minorHAnsi"/>
              </w:rPr>
              <w:t>Monitoring, evaluation, and reporting on progress of plan; and monitoring of equalities data for RADA to ensure milestones are being met in relation to anti-racism and ED&amp;I</w:t>
            </w:r>
          </w:p>
          <w:p w14:paraId="73893DDA" w14:textId="77777777" w:rsidR="009F1096" w:rsidRPr="00222FD3" w:rsidRDefault="009F1096" w:rsidP="009F1096">
            <w:pPr>
              <w:pStyle w:val="ListParagraph"/>
              <w:numPr>
                <w:ilvl w:val="0"/>
                <w:numId w:val="5"/>
              </w:numPr>
              <w:rPr>
                <w:rFonts w:ascii="Dia Regular" w:hAnsi="Dia Regular" w:cstheme="minorHAnsi"/>
              </w:rPr>
            </w:pPr>
            <w:r w:rsidRPr="00222FD3">
              <w:rPr>
                <w:rFonts w:ascii="Dia Regular" w:hAnsi="Dia Regular" w:cstheme="minorHAnsi"/>
              </w:rPr>
              <w:t>Manage the anti-racism and ED&amp;I budgets</w:t>
            </w:r>
          </w:p>
          <w:p w14:paraId="7316C94E" w14:textId="77777777" w:rsidR="009F1096" w:rsidRPr="00222FD3" w:rsidRDefault="009F1096" w:rsidP="009F1096">
            <w:pPr>
              <w:pStyle w:val="ListParagraph"/>
              <w:numPr>
                <w:ilvl w:val="0"/>
                <w:numId w:val="5"/>
              </w:numPr>
              <w:rPr>
                <w:rFonts w:ascii="Dia Regular" w:hAnsi="Dia Regular" w:cstheme="minorHAnsi"/>
              </w:rPr>
            </w:pPr>
            <w:r w:rsidRPr="00222FD3">
              <w:rPr>
                <w:rFonts w:ascii="Dia Regular" w:hAnsi="Dia Regular" w:cstheme="minorHAnsi"/>
              </w:rPr>
              <w:t>Work with external consultants to support RADA through root and branch review</w:t>
            </w:r>
          </w:p>
          <w:p w14:paraId="4C35B1F1" w14:textId="77777777" w:rsidR="009F1096" w:rsidRPr="00222FD3" w:rsidRDefault="009F1096" w:rsidP="009F1096">
            <w:pPr>
              <w:pStyle w:val="ListParagraph"/>
              <w:numPr>
                <w:ilvl w:val="0"/>
                <w:numId w:val="5"/>
              </w:numPr>
              <w:rPr>
                <w:rFonts w:ascii="Dia Regular" w:hAnsi="Dia Regular" w:cstheme="minorHAnsi"/>
              </w:rPr>
            </w:pPr>
            <w:r w:rsidRPr="00222FD3">
              <w:rPr>
                <w:rFonts w:ascii="Dia Regular" w:hAnsi="Dia Regular" w:cstheme="minorHAnsi"/>
              </w:rPr>
              <w:t>Supporting planning and actions for RADA to meet its Public Sector Equality Duty through the development of RADA’s ED&amp;I strategy</w:t>
            </w:r>
          </w:p>
          <w:p w14:paraId="42F84716" w14:textId="77777777" w:rsidR="009F1096" w:rsidRPr="00222FD3" w:rsidRDefault="009F1096" w:rsidP="009F1096">
            <w:pPr>
              <w:pStyle w:val="ListParagraph"/>
              <w:numPr>
                <w:ilvl w:val="0"/>
                <w:numId w:val="5"/>
              </w:numPr>
              <w:rPr>
                <w:rFonts w:ascii="Dia Regular" w:hAnsi="Dia Regular" w:cstheme="minorHAnsi"/>
              </w:rPr>
            </w:pPr>
            <w:r w:rsidRPr="00222FD3">
              <w:rPr>
                <w:rFonts w:ascii="Dia Regular" w:hAnsi="Dia Regular" w:cstheme="minorHAnsi"/>
              </w:rPr>
              <w:t xml:space="preserve">Build industry partnerships and networks </w:t>
            </w:r>
          </w:p>
          <w:p w14:paraId="49CBFD58" w14:textId="77777777" w:rsidR="009F1096" w:rsidRPr="00222FD3" w:rsidRDefault="009F1096" w:rsidP="009F1096">
            <w:pPr>
              <w:rPr>
                <w:rFonts w:ascii="Dia Regular" w:hAnsi="Dia Regular" w:cstheme="minorHAnsi"/>
              </w:rPr>
            </w:pPr>
          </w:p>
          <w:p w14:paraId="31C2F774" w14:textId="7788997A" w:rsidR="009F1096" w:rsidRPr="00222FD3" w:rsidRDefault="009F1096" w:rsidP="009F1096">
            <w:pPr>
              <w:rPr>
                <w:rFonts w:ascii="Dia Regular" w:hAnsi="Dia Regular" w:cstheme="minorHAnsi"/>
              </w:rPr>
            </w:pPr>
            <w:r w:rsidRPr="00222FD3">
              <w:rPr>
                <w:rFonts w:ascii="Dia Regular" w:hAnsi="Dia Regular" w:cstheme="minorHAnsi"/>
              </w:rPr>
              <w:t>2. Engagement</w:t>
            </w:r>
          </w:p>
          <w:p w14:paraId="1F9BF8DB" w14:textId="77777777" w:rsidR="009F1096" w:rsidRPr="00222FD3" w:rsidRDefault="009F1096" w:rsidP="009F1096">
            <w:pPr>
              <w:pStyle w:val="ListParagraph"/>
              <w:numPr>
                <w:ilvl w:val="0"/>
                <w:numId w:val="5"/>
              </w:numPr>
              <w:rPr>
                <w:rFonts w:ascii="Dia Regular" w:hAnsi="Dia Regular" w:cstheme="minorHAnsi"/>
              </w:rPr>
            </w:pPr>
            <w:r w:rsidRPr="00222FD3">
              <w:rPr>
                <w:rFonts w:ascii="Dia Regular" w:hAnsi="Dia Regular" w:cstheme="minorHAnsi"/>
              </w:rPr>
              <w:t>Development of student leadership to underpin anti-racism work and ethos within student body</w:t>
            </w:r>
          </w:p>
          <w:p w14:paraId="3DA6A99F" w14:textId="77777777" w:rsidR="009F1096" w:rsidRPr="00222FD3" w:rsidRDefault="009F1096" w:rsidP="009F1096">
            <w:pPr>
              <w:pStyle w:val="ListParagraph"/>
              <w:numPr>
                <w:ilvl w:val="0"/>
                <w:numId w:val="5"/>
              </w:numPr>
              <w:rPr>
                <w:rFonts w:ascii="Dia Regular" w:hAnsi="Dia Regular" w:cstheme="minorHAnsi"/>
              </w:rPr>
            </w:pPr>
            <w:r w:rsidRPr="00222FD3">
              <w:rPr>
                <w:rFonts w:ascii="Dia Regular" w:hAnsi="Dia Regular" w:cstheme="minorHAnsi"/>
              </w:rPr>
              <w:t>Engage with students and staff to embed more inclusive policies and environments</w:t>
            </w:r>
          </w:p>
          <w:p w14:paraId="3DC61E37" w14:textId="77777777" w:rsidR="009F1096" w:rsidRPr="00222FD3" w:rsidRDefault="009F1096" w:rsidP="009F1096">
            <w:pPr>
              <w:pStyle w:val="ListParagraph"/>
              <w:numPr>
                <w:ilvl w:val="0"/>
                <w:numId w:val="5"/>
              </w:numPr>
              <w:rPr>
                <w:rFonts w:ascii="Dia Regular" w:hAnsi="Dia Regular" w:cstheme="minorHAnsi"/>
              </w:rPr>
            </w:pPr>
            <w:r w:rsidRPr="00222FD3">
              <w:rPr>
                <w:rFonts w:ascii="Dia Regular" w:hAnsi="Dia Regular" w:cstheme="minorHAnsi"/>
              </w:rPr>
              <w:t>Guidance of HR on equity training and staff development, as well as policies and practices for recruitment, and wider HR policies and practices, such as career development</w:t>
            </w:r>
          </w:p>
          <w:p w14:paraId="7481FB92" w14:textId="77777777" w:rsidR="009F1096" w:rsidRPr="00222FD3" w:rsidRDefault="009F1096" w:rsidP="009F1096">
            <w:pPr>
              <w:pStyle w:val="ListParagraph"/>
              <w:numPr>
                <w:ilvl w:val="0"/>
                <w:numId w:val="5"/>
              </w:numPr>
              <w:rPr>
                <w:rFonts w:ascii="Dia Regular" w:hAnsi="Dia Regular" w:cstheme="minorHAnsi"/>
              </w:rPr>
            </w:pPr>
            <w:r w:rsidRPr="00222FD3">
              <w:rPr>
                <w:rFonts w:ascii="Dia Regular" w:hAnsi="Dia Regular" w:cstheme="minorHAnsi"/>
              </w:rPr>
              <w:t>Advising Council on best practice</w:t>
            </w:r>
          </w:p>
          <w:p w14:paraId="399CF6D7" w14:textId="77777777" w:rsidR="009F1096" w:rsidRPr="00222FD3" w:rsidRDefault="009F1096" w:rsidP="009F1096">
            <w:pPr>
              <w:pStyle w:val="ListParagraph"/>
              <w:numPr>
                <w:ilvl w:val="0"/>
                <w:numId w:val="5"/>
              </w:numPr>
              <w:rPr>
                <w:rFonts w:ascii="Dia Regular" w:hAnsi="Dia Regular" w:cstheme="minorHAnsi"/>
              </w:rPr>
            </w:pPr>
            <w:r w:rsidRPr="00222FD3">
              <w:rPr>
                <w:rFonts w:ascii="Dia Regular" w:hAnsi="Dia Regular" w:cstheme="minorHAnsi"/>
              </w:rPr>
              <w:lastRenderedPageBreak/>
              <w:t xml:space="preserve">Development of external network of partners </w:t>
            </w:r>
          </w:p>
          <w:p w14:paraId="55B67809" w14:textId="77777777" w:rsidR="009F1096" w:rsidRPr="00222FD3" w:rsidRDefault="009F1096" w:rsidP="009F1096">
            <w:pPr>
              <w:pStyle w:val="ListParagraph"/>
              <w:numPr>
                <w:ilvl w:val="0"/>
                <w:numId w:val="5"/>
              </w:numPr>
              <w:rPr>
                <w:rFonts w:ascii="Dia Regular" w:hAnsi="Dia Regular" w:cstheme="minorHAnsi"/>
              </w:rPr>
            </w:pPr>
            <w:r w:rsidRPr="00222FD3">
              <w:rPr>
                <w:rFonts w:ascii="Dia Regular" w:hAnsi="Dia Regular" w:cstheme="minorHAnsi"/>
              </w:rPr>
              <w:t>Providing clear internal and external communications about the work</w:t>
            </w:r>
          </w:p>
          <w:p w14:paraId="5427DA9E" w14:textId="77777777" w:rsidR="009F1096" w:rsidRPr="00222FD3" w:rsidRDefault="009F1096" w:rsidP="009F1096">
            <w:pPr>
              <w:pStyle w:val="ListParagraph"/>
              <w:numPr>
                <w:ilvl w:val="0"/>
                <w:numId w:val="5"/>
              </w:numPr>
              <w:rPr>
                <w:rFonts w:ascii="Dia Regular" w:hAnsi="Dia Regular" w:cstheme="minorHAnsi"/>
              </w:rPr>
            </w:pPr>
            <w:r w:rsidRPr="00222FD3">
              <w:rPr>
                <w:rFonts w:ascii="Dia Regular" w:hAnsi="Dia Regular" w:cstheme="minorHAnsi"/>
              </w:rPr>
              <w:t>Providing regular updates on planning, implementation and evaluation to stakeholders</w:t>
            </w:r>
          </w:p>
          <w:p w14:paraId="17FAC813" w14:textId="77777777" w:rsidR="009F1096" w:rsidRPr="00222FD3" w:rsidRDefault="009F1096" w:rsidP="009F1096">
            <w:pPr>
              <w:pStyle w:val="ListParagraph"/>
              <w:rPr>
                <w:rFonts w:ascii="Dia Regular" w:hAnsi="Dia Regular" w:cstheme="minorHAnsi"/>
              </w:rPr>
            </w:pPr>
          </w:p>
          <w:p w14:paraId="0ADA513B" w14:textId="0846256C" w:rsidR="009F1096" w:rsidRPr="00222FD3" w:rsidRDefault="009F1096" w:rsidP="009F1096">
            <w:pPr>
              <w:rPr>
                <w:rFonts w:ascii="Dia Regular" w:hAnsi="Dia Regular" w:cstheme="minorHAnsi"/>
              </w:rPr>
            </w:pPr>
            <w:r w:rsidRPr="00222FD3">
              <w:rPr>
                <w:rFonts w:ascii="Dia Regular" w:hAnsi="Dia Regular" w:cstheme="minorHAnsi"/>
              </w:rPr>
              <w:t>3. Working collaboratively with the other members of the Senior Leadership Team to:</w:t>
            </w:r>
          </w:p>
          <w:p w14:paraId="746AED1E" w14:textId="77777777" w:rsidR="009F1096" w:rsidRPr="00222FD3" w:rsidRDefault="009F1096" w:rsidP="009F1096">
            <w:pPr>
              <w:pStyle w:val="ListParagraph"/>
              <w:numPr>
                <w:ilvl w:val="0"/>
                <w:numId w:val="4"/>
              </w:numPr>
              <w:rPr>
                <w:rFonts w:ascii="Dia Regular" w:hAnsi="Dia Regular" w:cstheme="minorHAnsi"/>
              </w:rPr>
            </w:pPr>
            <w:r w:rsidRPr="00222FD3">
              <w:rPr>
                <w:rFonts w:ascii="Dia Regular" w:hAnsi="Dia Regular" w:cstheme="minorHAnsi"/>
              </w:rPr>
              <w:t>Shape and design the anti-racism agenda in training</w:t>
            </w:r>
          </w:p>
          <w:p w14:paraId="451789F0" w14:textId="77777777" w:rsidR="009F1096" w:rsidRPr="00222FD3" w:rsidRDefault="009F1096" w:rsidP="009F1096">
            <w:pPr>
              <w:pStyle w:val="ListParagraph"/>
              <w:numPr>
                <w:ilvl w:val="0"/>
                <w:numId w:val="4"/>
              </w:numPr>
              <w:rPr>
                <w:rFonts w:ascii="Dia Regular" w:hAnsi="Dia Regular" w:cstheme="minorHAnsi"/>
              </w:rPr>
            </w:pPr>
            <w:r w:rsidRPr="00222FD3">
              <w:rPr>
                <w:rFonts w:ascii="Dia Regular" w:hAnsi="Dia Regular" w:cstheme="minorHAnsi"/>
              </w:rPr>
              <w:t>Create a multi-year training delivery plan</w:t>
            </w:r>
          </w:p>
          <w:p w14:paraId="3313A7B6" w14:textId="77777777" w:rsidR="009F1096" w:rsidRPr="00222FD3" w:rsidRDefault="009F1096" w:rsidP="009F1096">
            <w:pPr>
              <w:pStyle w:val="ListParagraph"/>
              <w:numPr>
                <w:ilvl w:val="0"/>
                <w:numId w:val="4"/>
              </w:numPr>
              <w:rPr>
                <w:rFonts w:ascii="Dia Regular" w:hAnsi="Dia Regular" w:cstheme="minorHAnsi"/>
              </w:rPr>
            </w:pPr>
            <w:r w:rsidRPr="00222FD3">
              <w:rPr>
                <w:rFonts w:ascii="Dia Regular" w:hAnsi="Dia Regular" w:cstheme="minorHAnsi"/>
              </w:rPr>
              <w:t>Support workstream leads to implement strategic change and monitor change</w:t>
            </w:r>
          </w:p>
          <w:p w14:paraId="1415BDB2" w14:textId="77777777" w:rsidR="009F1096" w:rsidRPr="00222FD3" w:rsidRDefault="009F1096" w:rsidP="009F1096">
            <w:pPr>
              <w:pStyle w:val="ListParagraph"/>
              <w:numPr>
                <w:ilvl w:val="0"/>
                <w:numId w:val="4"/>
              </w:numPr>
              <w:rPr>
                <w:rFonts w:ascii="Dia Regular" w:hAnsi="Dia Regular" w:cstheme="minorHAnsi"/>
              </w:rPr>
            </w:pPr>
            <w:r w:rsidRPr="00222FD3">
              <w:rPr>
                <w:rFonts w:ascii="Dia Regular" w:hAnsi="Dia Regular" w:cstheme="minorHAnsi"/>
              </w:rPr>
              <w:t>Draft key milestones and work with SLT and RADA staff to deliver them</w:t>
            </w:r>
          </w:p>
          <w:p w14:paraId="211B2192" w14:textId="77777777" w:rsidR="009F1096" w:rsidRPr="00222FD3" w:rsidRDefault="009F1096" w:rsidP="009F1096">
            <w:pPr>
              <w:pStyle w:val="ListParagraph"/>
              <w:numPr>
                <w:ilvl w:val="0"/>
                <w:numId w:val="4"/>
              </w:numPr>
              <w:rPr>
                <w:rFonts w:ascii="Dia Regular" w:hAnsi="Dia Regular" w:cstheme="minorHAnsi"/>
              </w:rPr>
            </w:pPr>
            <w:r w:rsidRPr="00222FD3">
              <w:rPr>
                <w:rFonts w:ascii="Dia Regular" w:hAnsi="Dia Regular" w:cstheme="minorHAnsi"/>
              </w:rPr>
              <w:t>Ensure best practice of staff and student recruitment</w:t>
            </w:r>
          </w:p>
          <w:p w14:paraId="28E39197" w14:textId="77777777" w:rsidR="009F1096" w:rsidRPr="00222FD3" w:rsidRDefault="009F1096" w:rsidP="009F1096">
            <w:pPr>
              <w:pStyle w:val="ListParagraph"/>
              <w:numPr>
                <w:ilvl w:val="0"/>
                <w:numId w:val="4"/>
              </w:numPr>
              <w:rPr>
                <w:rFonts w:ascii="Dia Regular" w:hAnsi="Dia Regular" w:cstheme="minorHAnsi"/>
              </w:rPr>
            </w:pPr>
            <w:r w:rsidRPr="00222FD3">
              <w:rPr>
                <w:rFonts w:ascii="Dia Regular" w:hAnsi="Dia Regular" w:cstheme="minorHAnsi"/>
              </w:rPr>
              <w:t xml:space="preserve">Develop, train, and manage a network of staff across the academy who will lead on the race equity </w:t>
            </w:r>
          </w:p>
          <w:p w14:paraId="3D55267F" w14:textId="77777777" w:rsidR="009F1096" w:rsidRPr="00222FD3" w:rsidRDefault="009F1096" w:rsidP="009F1096">
            <w:pPr>
              <w:pStyle w:val="ListParagraph"/>
              <w:numPr>
                <w:ilvl w:val="0"/>
                <w:numId w:val="4"/>
              </w:numPr>
              <w:rPr>
                <w:rFonts w:ascii="Dia Regular" w:hAnsi="Dia Regular" w:cstheme="minorHAnsi"/>
              </w:rPr>
            </w:pPr>
            <w:r w:rsidRPr="00222FD3">
              <w:rPr>
                <w:rFonts w:ascii="Dia Regular" w:hAnsi="Dia Regular" w:cstheme="minorHAnsi"/>
              </w:rPr>
              <w:t>Uphold the value and commitment of equity throughout the Academy</w:t>
            </w:r>
          </w:p>
          <w:p w14:paraId="06B2AB69" w14:textId="77777777" w:rsidR="009F1096" w:rsidRPr="00222FD3" w:rsidRDefault="009F1096" w:rsidP="009F1096">
            <w:pPr>
              <w:rPr>
                <w:rFonts w:ascii="Dia Regular" w:hAnsi="Dia Regular" w:cstheme="minorHAnsi"/>
              </w:rPr>
            </w:pPr>
          </w:p>
          <w:p w14:paraId="0F668362" w14:textId="7BDD656A" w:rsidR="009F1096" w:rsidRPr="00222FD3" w:rsidRDefault="009F1096" w:rsidP="009F1096">
            <w:pPr>
              <w:rPr>
                <w:rFonts w:ascii="Dia Regular" w:hAnsi="Dia Regular" w:cs="Arial"/>
                <w:bCs/>
              </w:rPr>
            </w:pPr>
            <w:r w:rsidRPr="00222FD3">
              <w:rPr>
                <w:rFonts w:ascii="Dia Regular" w:hAnsi="Dia Regular" w:cs="Arial"/>
                <w:bCs/>
              </w:rPr>
              <w:t>4. Senior Leadership Team</w:t>
            </w:r>
          </w:p>
          <w:p w14:paraId="6ACB0ED5" w14:textId="77777777" w:rsidR="009F1096" w:rsidRPr="00222FD3" w:rsidRDefault="009F1096" w:rsidP="009F1096">
            <w:pPr>
              <w:pStyle w:val="ListParagraph"/>
              <w:ind w:left="567"/>
              <w:rPr>
                <w:rFonts w:ascii="Dia Regular" w:hAnsi="Dia Regular" w:cs="Arial"/>
                <w:bCs/>
              </w:rPr>
            </w:pPr>
          </w:p>
          <w:p w14:paraId="0B04DF1E" w14:textId="77777777" w:rsidR="009F1096" w:rsidRPr="00222FD3" w:rsidRDefault="009F1096" w:rsidP="009F1096">
            <w:pPr>
              <w:pStyle w:val="ListParagraph"/>
              <w:numPr>
                <w:ilvl w:val="1"/>
                <w:numId w:val="9"/>
              </w:numPr>
              <w:rPr>
                <w:rFonts w:ascii="Dia Regular" w:hAnsi="Dia Regular" w:cs="Arial"/>
                <w:bCs/>
              </w:rPr>
            </w:pPr>
            <w:r w:rsidRPr="00222FD3">
              <w:rPr>
                <w:rFonts w:ascii="Dia Regular" w:hAnsi="Dia Regular" w:cs="Arial"/>
                <w:bCs/>
              </w:rPr>
              <w:t>Participate in the strategic and operational leadership of the Academy.</w:t>
            </w:r>
          </w:p>
          <w:p w14:paraId="54F03E5D" w14:textId="77777777" w:rsidR="009F1096" w:rsidRPr="00222FD3" w:rsidRDefault="009F1096" w:rsidP="009F1096">
            <w:pPr>
              <w:pStyle w:val="ListParagraph"/>
              <w:numPr>
                <w:ilvl w:val="1"/>
                <w:numId w:val="9"/>
              </w:numPr>
              <w:rPr>
                <w:rFonts w:ascii="Dia Regular" w:hAnsi="Dia Regular" w:cs="Arial"/>
                <w:bCs/>
              </w:rPr>
            </w:pPr>
            <w:r w:rsidRPr="00222FD3">
              <w:rPr>
                <w:rFonts w:ascii="Dia Regular" w:hAnsi="Dia Regular" w:cs="Arial"/>
                <w:bCs/>
              </w:rPr>
              <w:t>Advise on relevant policy developments within the HE sector affecting the work of the Academy.</w:t>
            </w:r>
          </w:p>
          <w:p w14:paraId="1F956608" w14:textId="77777777" w:rsidR="009F1096" w:rsidRPr="00222FD3" w:rsidRDefault="009F1096" w:rsidP="009F1096">
            <w:pPr>
              <w:pStyle w:val="ListParagraph"/>
              <w:numPr>
                <w:ilvl w:val="1"/>
                <w:numId w:val="9"/>
              </w:numPr>
              <w:rPr>
                <w:rFonts w:ascii="Dia Regular" w:hAnsi="Dia Regular" w:cs="Arial"/>
                <w:bCs/>
              </w:rPr>
            </w:pPr>
            <w:r w:rsidRPr="00222FD3">
              <w:rPr>
                <w:rFonts w:ascii="Dia Regular" w:hAnsi="Dia Regular" w:cs="Arial"/>
                <w:bCs/>
              </w:rPr>
              <w:t>Contribute to the preparation, delivery and oversight of RADA’s Strategic Plans.</w:t>
            </w:r>
          </w:p>
          <w:p w14:paraId="4177F821" w14:textId="77777777" w:rsidR="009F1096" w:rsidRPr="00222FD3" w:rsidRDefault="009F1096" w:rsidP="009F1096">
            <w:pPr>
              <w:pStyle w:val="ListParagraph"/>
              <w:numPr>
                <w:ilvl w:val="1"/>
                <w:numId w:val="9"/>
              </w:numPr>
              <w:rPr>
                <w:rFonts w:ascii="Dia Regular" w:hAnsi="Dia Regular" w:cs="Arial"/>
                <w:bCs/>
              </w:rPr>
            </w:pPr>
            <w:r w:rsidRPr="00222FD3">
              <w:rPr>
                <w:rFonts w:ascii="Dia Regular" w:hAnsi="Dia Regular" w:cs="Arial"/>
                <w:bCs/>
              </w:rPr>
              <w:t>Work collectively and effectively with colleagues as part of the leadership team.</w:t>
            </w:r>
          </w:p>
          <w:p w14:paraId="6D9795F4" w14:textId="77777777" w:rsidR="009F1096" w:rsidRPr="00222FD3" w:rsidRDefault="009F1096" w:rsidP="009F1096">
            <w:pPr>
              <w:rPr>
                <w:rFonts w:ascii="Dia Regular" w:hAnsi="Dia Regular" w:cs="Arial"/>
              </w:rPr>
            </w:pPr>
          </w:p>
          <w:p w14:paraId="3278ADF9" w14:textId="14600C90" w:rsidR="00BD7EEB" w:rsidRPr="00222FD3" w:rsidRDefault="00BD7EEB" w:rsidP="009F1096">
            <w:pPr>
              <w:pStyle w:val="ListParagraph"/>
              <w:numPr>
                <w:ilvl w:val="0"/>
                <w:numId w:val="11"/>
              </w:numPr>
              <w:rPr>
                <w:rFonts w:ascii="Dia Regular" w:hAnsi="Dia Regular" w:cs="Arial"/>
              </w:rPr>
            </w:pPr>
            <w:r w:rsidRPr="00222FD3">
              <w:rPr>
                <w:rFonts w:ascii="Dia Regular" w:hAnsi="Dia Regular" w:cs="Arial"/>
              </w:rPr>
              <w:t>General</w:t>
            </w:r>
          </w:p>
          <w:p w14:paraId="5AB6E7DF" w14:textId="77777777" w:rsidR="00BD7EEB" w:rsidRPr="00222FD3" w:rsidRDefault="00BD7EEB" w:rsidP="00630C91">
            <w:pPr>
              <w:pStyle w:val="ListParagraph"/>
              <w:ind w:left="964"/>
              <w:rPr>
                <w:rFonts w:ascii="Dia Regular" w:hAnsi="Dia Regular" w:cs="Arial"/>
                <w:bCs/>
              </w:rPr>
            </w:pPr>
          </w:p>
          <w:p w14:paraId="35EA3B9E" w14:textId="77777777" w:rsidR="00BD7EEB" w:rsidRPr="00222FD3" w:rsidRDefault="00BD7EEB" w:rsidP="009F1096">
            <w:pPr>
              <w:pStyle w:val="ListParagraph"/>
              <w:numPr>
                <w:ilvl w:val="1"/>
                <w:numId w:val="11"/>
              </w:numPr>
              <w:rPr>
                <w:rFonts w:ascii="Dia Regular" w:hAnsi="Dia Regular" w:cs="Arial"/>
                <w:bCs/>
              </w:rPr>
            </w:pPr>
            <w:r w:rsidRPr="00222FD3">
              <w:rPr>
                <w:rFonts w:ascii="Dia Regular" w:hAnsi="Dia Regular" w:cs="Arial"/>
              </w:rPr>
              <w:t>Maintain and sustain professional networks</w:t>
            </w:r>
          </w:p>
          <w:p w14:paraId="75FDDB8F" w14:textId="77777777" w:rsidR="00BD7EEB" w:rsidRPr="00222FD3" w:rsidRDefault="00BD7EEB" w:rsidP="009F1096">
            <w:pPr>
              <w:pStyle w:val="ListParagraph"/>
              <w:numPr>
                <w:ilvl w:val="1"/>
                <w:numId w:val="11"/>
              </w:numPr>
              <w:rPr>
                <w:rFonts w:ascii="Dia Regular" w:hAnsi="Dia Regular" w:cs="Arial"/>
                <w:bCs/>
              </w:rPr>
            </w:pPr>
            <w:r w:rsidRPr="00222FD3">
              <w:rPr>
                <w:rFonts w:ascii="Dia Regular" w:hAnsi="Dia Regular" w:cs="Arial"/>
              </w:rPr>
              <w:t>Represent RADA externally as required.</w:t>
            </w:r>
          </w:p>
          <w:p w14:paraId="26DD01E0" w14:textId="77777777" w:rsidR="00BD7EEB" w:rsidRPr="00222FD3" w:rsidRDefault="00BD7EEB" w:rsidP="009F1096">
            <w:pPr>
              <w:pStyle w:val="ListParagraph"/>
              <w:numPr>
                <w:ilvl w:val="1"/>
                <w:numId w:val="11"/>
              </w:numPr>
              <w:spacing w:after="160" w:line="259" w:lineRule="auto"/>
              <w:rPr>
                <w:rFonts w:ascii="Dia Regular" w:hAnsi="Dia Regular" w:cs="Arial"/>
              </w:rPr>
            </w:pPr>
            <w:r w:rsidRPr="00222FD3">
              <w:rPr>
                <w:rFonts w:ascii="Dia Regular" w:hAnsi="Dia Regular" w:cs="Arial"/>
              </w:rPr>
              <w:t>Promote equality, diversity and inclusion at all times and ensure they are at the forefront of your thinking when undertaking your responsibilities.</w:t>
            </w:r>
          </w:p>
          <w:p w14:paraId="079DAAD9" w14:textId="77777777" w:rsidR="00BD7EEB" w:rsidRPr="00222FD3" w:rsidRDefault="00BD7EEB" w:rsidP="009F1096">
            <w:pPr>
              <w:pStyle w:val="ListParagraph"/>
              <w:numPr>
                <w:ilvl w:val="1"/>
                <w:numId w:val="11"/>
              </w:numPr>
              <w:spacing w:after="160" w:line="259" w:lineRule="auto"/>
              <w:rPr>
                <w:rFonts w:ascii="Dia Regular" w:hAnsi="Dia Regular" w:cs="Arial"/>
              </w:rPr>
            </w:pPr>
            <w:r w:rsidRPr="00222FD3">
              <w:rPr>
                <w:rFonts w:ascii="Dia Regular" w:hAnsi="Dia Regular" w:cs="Arial"/>
              </w:rPr>
              <w:t>Comply with Health and Safety legislation and ensure you are up to date with RADA’s Health and Safety Policy.</w:t>
            </w:r>
          </w:p>
          <w:p w14:paraId="46AFEA59" w14:textId="77777777" w:rsidR="00BD7EEB" w:rsidRPr="00222FD3" w:rsidRDefault="00BD7EEB" w:rsidP="009F1096">
            <w:pPr>
              <w:pStyle w:val="ListParagraph"/>
              <w:numPr>
                <w:ilvl w:val="1"/>
                <w:numId w:val="11"/>
              </w:numPr>
              <w:spacing w:line="259" w:lineRule="auto"/>
              <w:rPr>
                <w:rFonts w:ascii="Dia Regular" w:hAnsi="Dia Regular" w:cs="Arial"/>
              </w:rPr>
            </w:pPr>
            <w:r w:rsidRPr="00222FD3">
              <w:rPr>
                <w:rFonts w:ascii="Dia Regular" w:hAnsi="Dia Regular" w:cs="Arial"/>
              </w:rPr>
              <w:t>Comply with GDPR, Data Protection and Safeguarding legislation.</w:t>
            </w:r>
          </w:p>
          <w:p w14:paraId="65BE35EA" w14:textId="77777777" w:rsidR="00BD7EEB" w:rsidRPr="00222FD3" w:rsidRDefault="00BD7EEB" w:rsidP="009F1096">
            <w:pPr>
              <w:pStyle w:val="ListParagraph"/>
              <w:numPr>
                <w:ilvl w:val="1"/>
                <w:numId w:val="11"/>
              </w:numPr>
              <w:spacing w:line="259" w:lineRule="auto"/>
              <w:rPr>
                <w:rFonts w:ascii="Dia Regular" w:hAnsi="Dia Regular" w:cs="Arial"/>
              </w:rPr>
            </w:pPr>
            <w:r w:rsidRPr="00222FD3">
              <w:rPr>
                <w:rFonts w:ascii="Dia Regular" w:hAnsi="Dia Regular" w:cs="Arial"/>
              </w:rPr>
              <w:t xml:space="preserve">Contribute to the development and culture of RADA, attend RADA training and staff events as and when required (including but not limited to annual staff conference and termly all staff meetings). </w:t>
            </w:r>
          </w:p>
          <w:p w14:paraId="4D274D30" w14:textId="77777777" w:rsidR="00BD7EEB" w:rsidRPr="00222FD3" w:rsidRDefault="00BD7EEB" w:rsidP="00630C91">
            <w:pPr>
              <w:spacing w:line="259" w:lineRule="auto"/>
              <w:rPr>
                <w:rFonts w:ascii="Dia Regular" w:hAnsi="Dia Regular" w:cs="Arial"/>
              </w:rPr>
            </w:pPr>
          </w:p>
          <w:p w14:paraId="77C91BF3" w14:textId="77777777" w:rsidR="00BD7EEB" w:rsidRPr="00222FD3" w:rsidRDefault="00BD7EEB" w:rsidP="00630C91">
            <w:pPr>
              <w:pStyle w:val="Title"/>
              <w:pBdr>
                <w:top w:val="nil"/>
                <w:left w:val="nil"/>
                <w:bottom w:val="nil"/>
                <w:right w:val="nil"/>
                <w:between w:val="nil"/>
                <w:bar w:val="nil"/>
              </w:pBdr>
              <w:jc w:val="both"/>
              <w:rPr>
                <w:rFonts w:ascii="Dia Regular" w:eastAsia="Gotham Book" w:hAnsi="Dia Regular"/>
                <w:b w:val="0"/>
                <w:bCs w:val="0"/>
                <w:sz w:val="22"/>
                <w:szCs w:val="22"/>
              </w:rPr>
            </w:pPr>
            <w:r w:rsidRPr="00222FD3">
              <w:rPr>
                <w:rFonts w:ascii="Dia Regular" w:eastAsia="Gotham Book" w:hAnsi="Dia Regular"/>
                <w:b w:val="0"/>
                <w:bCs w:val="0"/>
                <w:sz w:val="22"/>
                <w:szCs w:val="22"/>
              </w:rPr>
              <w:t>By accepting a role here you are acknowledging a commitment to RADA’s values and mission, and a willingness to contribute to the ongoing development of the same.</w:t>
            </w:r>
          </w:p>
          <w:p w14:paraId="79424098" w14:textId="77777777" w:rsidR="00BD7EEB" w:rsidRPr="00222FD3" w:rsidRDefault="00BD7EEB" w:rsidP="00630C91">
            <w:pPr>
              <w:spacing w:line="259" w:lineRule="auto"/>
              <w:rPr>
                <w:rFonts w:ascii="Dia Regular" w:hAnsi="Dia Regular" w:cs="Arial"/>
              </w:rPr>
            </w:pPr>
          </w:p>
        </w:tc>
      </w:tr>
    </w:tbl>
    <w:p w14:paraId="359BD56E" w14:textId="2F52F84B" w:rsidR="00D32BB9" w:rsidRDefault="00D32BB9" w:rsidP="00232A01">
      <w:pPr>
        <w:rPr>
          <w:rFonts w:ascii="Dia Regular" w:hAnsi="Dia Regular" w:cstheme="minorHAnsi"/>
          <w:b/>
          <w:bCs/>
        </w:rPr>
      </w:pPr>
    </w:p>
    <w:p w14:paraId="1D0C10AB" w14:textId="72E8252B" w:rsidR="00D32BB9" w:rsidRDefault="00D32BB9" w:rsidP="00232A01">
      <w:pPr>
        <w:rPr>
          <w:rFonts w:ascii="Dia Regular" w:hAnsi="Dia Regular" w:cstheme="minorHAnsi"/>
          <w:b/>
          <w:bCs/>
        </w:rPr>
      </w:pPr>
    </w:p>
    <w:p w14:paraId="4EE6D38A" w14:textId="084E24C9" w:rsidR="00D32BB9" w:rsidRDefault="00D32BB9" w:rsidP="00232A01">
      <w:pPr>
        <w:rPr>
          <w:rFonts w:ascii="Dia Regular" w:hAnsi="Dia Regular" w:cstheme="minorHAnsi"/>
          <w:b/>
          <w:bCs/>
        </w:rPr>
      </w:pPr>
    </w:p>
    <w:p w14:paraId="38E5E9B8" w14:textId="6744023F" w:rsidR="00D32BB9" w:rsidRDefault="00D32BB9" w:rsidP="00232A01">
      <w:pPr>
        <w:rPr>
          <w:rFonts w:ascii="Dia Regular" w:hAnsi="Dia Regular" w:cstheme="minorHAnsi"/>
          <w:b/>
          <w:bCs/>
        </w:rPr>
      </w:pPr>
    </w:p>
    <w:p w14:paraId="371712E3" w14:textId="0B3C6CCE" w:rsidR="00D32BB9" w:rsidRDefault="00D32BB9" w:rsidP="00232A01">
      <w:pPr>
        <w:rPr>
          <w:rFonts w:ascii="Dia Regular" w:hAnsi="Dia Regular" w:cstheme="minorHAnsi"/>
          <w:b/>
          <w:bCs/>
        </w:rPr>
      </w:pPr>
    </w:p>
    <w:p w14:paraId="2826C240" w14:textId="71F6D98E" w:rsidR="00D32BB9" w:rsidRDefault="00D32BB9" w:rsidP="00232A01">
      <w:pPr>
        <w:rPr>
          <w:rFonts w:ascii="Dia Regular" w:hAnsi="Dia Regular" w:cstheme="minorHAnsi"/>
          <w:b/>
          <w:bCs/>
        </w:rPr>
      </w:pPr>
    </w:p>
    <w:p w14:paraId="2605014B" w14:textId="77777777" w:rsidR="00D32BB9" w:rsidRDefault="00D32BB9" w:rsidP="00232A01">
      <w:pPr>
        <w:rPr>
          <w:rFonts w:ascii="Dia Regular" w:hAnsi="Dia Regular" w:cstheme="minorHAnsi"/>
          <w:b/>
          <w:bCs/>
        </w:rPr>
      </w:pPr>
    </w:p>
    <w:p w14:paraId="5C5D7B8B" w14:textId="77777777" w:rsidR="00D32BB9" w:rsidRDefault="00D32BB9" w:rsidP="00232A01">
      <w:pPr>
        <w:rPr>
          <w:rFonts w:ascii="Dia Regular" w:hAnsi="Dia Regular" w:cstheme="minorHAnsi"/>
          <w:b/>
          <w:bCs/>
        </w:rPr>
      </w:pPr>
    </w:p>
    <w:p w14:paraId="13BDFB8F" w14:textId="03B0C3C4" w:rsidR="009E2177" w:rsidRPr="00222FD3" w:rsidRDefault="00D32BB9" w:rsidP="00D32BB9">
      <w:pPr>
        <w:rPr>
          <w:rFonts w:ascii="Dia Regular" w:hAnsi="Dia Regular" w:cstheme="minorHAnsi"/>
          <w:b/>
          <w:bCs/>
        </w:rPr>
      </w:pPr>
      <w:r>
        <w:rPr>
          <w:rFonts w:ascii="Dia Regular" w:hAnsi="Dia Regular" w:cstheme="minorHAnsi"/>
          <w:b/>
          <w:bCs/>
        </w:rPr>
        <w:lastRenderedPageBreak/>
        <w:t>Person specification</w:t>
      </w:r>
      <w:r w:rsidR="009E3E18" w:rsidRPr="00222FD3">
        <w:rPr>
          <w:rFonts w:ascii="Dia Regular" w:hAnsi="Dia Regular" w:cstheme="minorHAnsi"/>
          <w:b/>
          <w:bCs/>
        </w:rPr>
        <w:br/>
      </w:r>
    </w:p>
    <w:tbl>
      <w:tblPr>
        <w:tblpPr w:leftFromText="180" w:rightFromText="180" w:vertAnchor="text" w:horzAnchor="margin" w:tblpY="-383"/>
        <w:tblW w:w="8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2"/>
        <w:gridCol w:w="4536"/>
        <w:gridCol w:w="2551"/>
      </w:tblGrid>
      <w:tr w:rsidR="00232A01" w:rsidRPr="00222FD3" w14:paraId="0D3A281A" w14:textId="77777777" w:rsidTr="009A5419">
        <w:tc>
          <w:tcPr>
            <w:tcW w:w="1692" w:type="dxa"/>
          </w:tcPr>
          <w:p w14:paraId="182E8F04" w14:textId="77777777" w:rsidR="00232A01" w:rsidRPr="00222FD3" w:rsidRDefault="00232A01" w:rsidP="009A5419">
            <w:pPr>
              <w:pStyle w:val="Heading1"/>
              <w:rPr>
                <w:rFonts w:ascii="Dia Regular" w:hAnsi="Dia Regular" w:cstheme="minorHAnsi"/>
                <w:i w:val="0"/>
                <w:iCs w:val="0"/>
                <w:sz w:val="22"/>
                <w:szCs w:val="22"/>
              </w:rPr>
            </w:pPr>
          </w:p>
        </w:tc>
        <w:tc>
          <w:tcPr>
            <w:tcW w:w="4536" w:type="dxa"/>
          </w:tcPr>
          <w:p w14:paraId="79AFCE1D" w14:textId="70C9D3E1" w:rsidR="00E729FA" w:rsidRPr="00222FD3" w:rsidRDefault="00232A01" w:rsidP="00E729FA">
            <w:pPr>
              <w:pStyle w:val="Heading1"/>
              <w:jc w:val="center"/>
              <w:rPr>
                <w:rFonts w:ascii="Dia Regular" w:hAnsi="Dia Regular" w:cstheme="minorHAnsi"/>
                <w:b/>
                <w:bCs/>
                <w:i w:val="0"/>
                <w:iCs w:val="0"/>
                <w:sz w:val="22"/>
                <w:szCs w:val="22"/>
              </w:rPr>
            </w:pPr>
            <w:r w:rsidRPr="00222FD3">
              <w:rPr>
                <w:rFonts w:ascii="Dia Regular" w:hAnsi="Dia Regular" w:cstheme="minorHAnsi"/>
                <w:b/>
                <w:bCs/>
                <w:i w:val="0"/>
                <w:iCs w:val="0"/>
                <w:sz w:val="22"/>
                <w:szCs w:val="22"/>
              </w:rPr>
              <w:t>Essential</w:t>
            </w:r>
          </w:p>
        </w:tc>
        <w:tc>
          <w:tcPr>
            <w:tcW w:w="2551" w:type="dxa"/>
          </w:tcPr>
          <w:p w14:paraId="6883394D" w14:textId="77777777" w:rsidR="00232A01" w:rsidRPr="00222FD3" w:rsidRDefault="00232A01" w:rsidP="009A5419">
            <w:pPr>
              <w:pStyle w:val="Heading1"/>
              <w:jc w:val="center"/>
              <w:rPr>
                <w:rFonts w:ascii="Dia Regular" w:hAnsi="Dia Regular" w:cstheme="minorHAnsi"/>
                <w:b/>
                <w:bCs/>
                <w:i w:val="0"/>
                <w:iCs w:val="0"/>
                <w:sz w:val="22"/>
                <w:szCs w:val="22"/>
              </w:rPr>
            </w:pPr>
            <w:r w:rsidRPr="00222FD3">
              <w:rPr>
                <w:rFonts w:ascii="Dia Regular" w:hAnsi="Dia Regular" w:cstheme="minorHAnsi"/>
                <w:b/>
                <w:bCs/>
                <w:i w:val="0"/>
                <w:iCs w:val="0"/>
                <w:sz w:val="22"/>
                <w:szCs w:val="22"/>
              </w:rPr>
              <w:t>Desirable</w:t>
            </w:r>
          </w:p>
        </w:tc>
      </w:tr>
      <w:tr w:rsidR="00232A01" w:rsidRPr="00222FD3" w14:paraId="2B6CD51D" w14:textId="77777777" w:rsidTr="009A5419">
        <w:tc>
          <w:tcPr>
            <w:tcW w:w="1692" w:type="dxa"/>
          </w:tcPr>
          <w:p w14:paraId="0B211ADB" w14:textId="77777777" w:rsidR="00232A01" w:rsidRPr="00222FD3" w:rsidRDefault="00232A01" w:rsidP="009A5419">
            <w:pPr>
              <w:pStyle w:val="Heading1"/>
              <w:rPr>
                <w:rFonts w:ascii="Dia Regular" w:hAnsi="Dia Regular" w:cstheme="minorHAnsi"/>
                <w:b/>
                <w:bCs/>
                <w:i w:val="0"/>
                <w:iCs w:val="0"/>
                <w:sz w:val="22"/>
                <w:szCs w:val="22"/>
              </w:rPr>
            </w:pPr>
            <w:r w:rsidRPr="00222FD3">
              <w:rPr>
                <w:rFonts w:ascii="Dia Regular" w:hAnsi="Dia Regular" w:cstheme="minorHAnsi"/>
                <w:b/>
                <w:bCs/>
                <w:i w:val="0"/>
                <w:iCs w:val="0"/>
                <w:sz w:val="22"/>
                <w:szCs w:val="22"/>
              </w:rPr>
              <w:t>Skills/abilities/competencies</w:t>
            </w:r>
          </w:p>
          <w:p w14:paraId="100FF9E3" w14:textId="77777777" w:rsidR="00232A01" w:rsidRPr="00222FD3" w:rsidRDefault="00232A01" w:rsidP="009A5419">
            <w:pPr>
              <w:ind w:left="360" w:hanging="360"/>
              <w:rPr>
                <w:rFonts w:ascii="Dia Regular" w:hAnsi="Dia Regular" w:cstheme="minorHAnsi"/>
                <w:b/>
                <w:bCs/>
              </w:rPr>
            </w:pPr>
          </w:p>
          <w:p w14:paraId="4FF22107" w14:textId="77777777" w:rsidR="00232A01" w:rsidRPr="00222FD3" w:rsidRDefault="00232A01" w:rsidP="009A5419">
            <w:pPr>
              <w:ind w:left="360" w:hanging="360"/>
              <w:rPr>
                <w:rFonts w:ascii="Dia Regular" w:hAnsi="Dia Regular" w:cstheme="minorHAnsi"/>
                <w:b/>
                <w:bCs/>
              </w:rPr>
            </w:pPr>
          </w:p>
          <w:p w14:paraId="16E9DFCA" w14:textId="77777777" w:rsidR="00232A01" w:rsidRPr="00222FD3" w:rsidRDefault="00232A01" w:rsidP="009A5419">
            <w:pPr>
              <w:rPr>
                <w:rFonts w:ascii="Dia Regular" w:hAnsi="Dia Regular" w:cstheme="minorHAnsi"/>
              </w:rPr>
            </w:pPr>
          </w:p>
        </w:tc>
        <w:tc>
          <w:tcPr>
            <w:tcW w:w="4536" w:type="dxa"/>
          </w:tcPr>
          <w:p w14:paraId="253AFE7C" w14:textId="77777777" w:rsidR="00232A01" w:rsidRPr="00222FD3" w:rsidRDefault="00232A01" w:rsidP="00232A01">
            <w:pPr>
              <w:pStyle w:val="ListParagraph"/>
              <w:numPr>
                <w:ilvl w:val="0"/>
                <w:numId w:val="7"/>
              </w:numPr>
              <w:spacing w:after="0" w:line="240" w:lineRule="auto"/>
              <w:ind w:left="459" w:hanging="425"/>
              <w:rPr>
                <w:rFonts w:ascii="Dia Regular" w:hAnsi="Dia Regular" w:cstheme="minorHAnsi"/>
              </w:rPr>
            </w:pPr>
            <w:r w:rsidRPr="00222FD3">
              <w:rPr>
                <w:rFonts w:ascii="Dia Regular" w:hAnsi="Dia Regular" w:cstheme="minorHAnsi"/>
              </w:rPr>
              <w:t>Understanding of anti-racism research and evidence relevant to student and employee agendas.</w:t>
            </w:r>
          </w:p>
          <w:p w14:paraId="63419411" w14:textId="77777777" w:rsidR="00232A01" w:rsidRPr="00222FD3" w:rsidRDefault="00232A01" w:rsidP="00232A01">
            <w:pPr>
              <w:pStyle w:val="ListParagraph"/>
              <w:numPr>
                <w:ilvl w:val="0"/>
                <w:numId w:val="7"/>
              </w:numPr>
              <w:spacing w:after="0" w:line="240" w:lineRule="auto"/>
              <w:ind w:left="459" w:hanging="425"/>
              <w:rPr>
                <w:rFonts w:ascii="Dia Regular" w:hAnsi="Dia Regular" w:cstheme="minorHAnsi"/>
              </w:rPr>
            </w:pPr>
            <w:r w:rsidRPr="00222FD3">
              <w:rPr>
                <w:rFonts w:ascii="Dia Regular" w:hAnsi="Dia Regular" w:cstheme="minorHAnsi"/>
              </w:rPr>
              <w:t>Strategic thinking and the ability to communicate effectively at all levels</w:t>
            </w:r>
          </w:p>
          <w:p w14:paraId="65DA32C8" w14:textId="77777777" w:rsidR="00232A01" w:rsidRPr="00222FD3" w:rsidRDefault="00232A01" w:rsidP="00232A01">
            <w:pPr>
              <w:pStyle w:val="ListParagraph"/>
              <w:numPr>
                <w:ilvl w:val="0"/>
                <w:numId w:val="7"/>
              </w:numPr>
              <w:spacing w:after="0" w:line="240" w:lineRule="auto"/>
              <w:ind w:left="459" w:hanging="425"/>
              <w:rPr>
                <w:rFonts w:ascii="Dia Regular" w:hAnsi="Dia Regular" w:cstheme="minorHAnsi"/>
              </w:rPr>
            </w:pPr>
            <w:r w:rsidRPr="00222FD3">
              <w:rPr>
                <w:rFonts w:ascii="Dia Regular" w:hAnsi="Dia Regular" w:cstheme="minorHAnsi"/>
              </w:rPr>
              <w:t>Relationship building, strong diplomatic and influencing skills</w:t>
            </w:r>
          </w:p>
          <w:p w14:paraId="7EDAFDFE" w14:textId="77777777" w:rsidR="00232A01" w:rsidRPr="00222FD3" w:rsidRDefault="00232A01" w:rsidP="00232A01">
            <w:pPr>
              <w:pStyle w:val="ListParagraph"/>
              <w:numPr>
                <w:ilvl w:val="0"/>
                <w:numId w:val="7"/>
              </w:numPr>
              <w:spacing w:after="0" w:line="240" w:lineRule="auto"/>
              <w:ind w:left="459" w:hanging="425"/>
              <w:rPr>
                <w:rFonts w:ascii="Dia Regular" w:hAnsi="Dia Regular" w:cstheme="minorHAnsi"/>
              </w:rPr>
            </w:pPr>
            <w:r w:rsidRPr="00222FD3">
              <w:rPr>
                <w:rFonts w:ascii="Dia Regular" w:hAnsi="Dia Regular" w:cstheme="minorHAnsi"/>
              </w:rPr>
              <w:t>Ability to analyse data and situations relating to diversity from an organisational perspective</w:t>
            </w:r>
          </w:p>
          <w:p w14:paraId="324EE339" w14:textId="77777777" w:rsidR="00232A01" w:rsidRPr="00222FD3" w:rsidRDefault="00232A01" w:rsidP="00232A01">
            <w:pPr>
              <w:pStyle w:val="ListParagraph"/>
              <w:numPr>
                <w:ilvl w:val="0"/>
                <w:numId w:val="7"/>
              </w:numPr>
              <w:spacing w:after="0" w:line="240" w:lineRule="auto"/>
              <w:ind w:left="459" w:hanging="425"/>
              <w:rPr>
                <w:rFonts w:ascii="Dia Regular" w:hAnsi="Dia Regular" w:cstheme="minorHAnsi"/>
              </w:rPr>
            </w:pPr>
            <w:r w:rsidRPr="00222FD3">
              <w:rPr>
                <w:rFonts w:ascii="Dia Regular" w:hAnsi="Dia Regular" w:cstheme="minorHAnsi"/>
              </w:rPr>
              <w:t>Effective project management skills</w:t>
            </w:r>
          </w:p>
          <w:p w14:paraId="386065E1" w14:textId="4F95C505" w:rsidR="00232A01" w:rsidRPr="00222FD3" w:rsidRDefault="00232A01" w:rsidP="00E729FA">
            <w:pPr>
              <w:pStyle w:val="ListParagraph"/>
              <w:numPr>
                <w:ilvl w:val="0"/>
                <w:numId w:val="7"/>
              </w:numPr>
              <w:spacing w:after="0" w:line="240" w:lineRule="auto"/>
              <w:ind w:left="459" w:hanging="425"/>
              <w:rPr>
                <w:rFonts w:ascii="Dia Regular" w:hAnsi="Dia Regular" w:cstheme="minorHAnsi"/>
              </w:rPr>
            </w:pPr>
            <w:r w:rsidRPr="00222FD3">
              <w:rPr>
                <w:rFonts w:ascii="Dia Regular" w:hAnsi="Dia Regular" w:cstheme="minorHAnsi"/>
              </w:rPr>
              <w:t>Analytical skills to evaluate and measure impact</w:t>
            </w:r>
          </w:p>
        </w:tc>
        <w:tc>
          <w:tcPr>
            <w:tcW w:w="2551" w:type="dxa"/>
          </w:tcPr>
          <w:p w14:paraId="6531328A" w14:textId="77777777" w:rsidR="00232A01" w:rsidRPr="00222FD3" w:rsidRDefault="00232A01" w:rsidP="00232A01">
            <w:pPr>
              <w:pStyle w:val="ListParagraph"/>
              <w:numPr>
                <w:ilvl w:val="0"/>
                <w:numId w:val="6"/>
              </w:numPr>
              <w:spacing w:after="0" w:line="240" w:lineRule="auto"/>
              <w:rPr>
                <w:rFonts w:ascii="Dia Regular" w:hAnsi="Dia Regular" w:cstheme="minorHAnsi"/>
              </w:rPr>
            </w:pPr>
            <w:r w:rsidRPr="00222FD3">
              <w:rPr>
                <w:rFonts w:ascii="Dia Regular" w:hAnsi="Dia Regular" w:cstheme="minorHAnsi"/>
              </w:rPr>
              <w:t xml:space="preserve">Knowledge of key academic work relating to the post </w:t>
            </w:r>
            <w:proofErr w:type="gramStart"/>
            <w:r w:rsidRPr="00222FD3">
              <w:rPr>
                <w:rFonts w:ascii="Dia Regular" w:hAnsi="Dia Regular" w:cstheme="minorHAnsi"/>
              </w:rPr>
              <w:t>including:</w:t>
            </w:r>
            <w:proofErr w:type="gramEnd"/>
            <w:r w:rsidRPr="00222FD3">
              <w:rPr>
                <w:rFonts w:ascii="Dia Regular" w:hAnsi="Dia Regular" w:cstheme="minorHAnsi"/>
              </w:rPr>
              <w:t xml:space="preserve"> Critical Race Theory; methods and processes of decolonialisation especially in the higher education sector; disability, LGBTQIA+ and feminist theory. </w:t>
            </w:r>
          </w:p>
        </w:tc>
      </w:tr>
      <w:tr w:rsidR="00232A01" w:rsidRPr="00222FD3" w14:paraId="77759179" w14:textId="77777777" w:rsidTr="009A5419">
        <w:tc>
          <w:tcPr>
            <w:tcW w:w="1692" w:type="dxa"/>
          </w:tcPr>
          <w:p w14:paraId="0938927B" w14:textId="77777777" w:rsidR="00232A01" w:rsidRPr="00222FD3" w:rsidRDefault="00232A01" w:rsidP="009A5419">
            <w:pPr>
              <w:pStyle w:val="Heading3"/>
              <w:rPr>
                <w:rFonts w:ascii="Dia Regular" w:hAnsi="Dia Regular" w:cstheme="minorHAnsi"/>
                <w:b/>
                <w:bCs/>
                <w:sz w:val="22"/>
                <w:szCs w:val="22"/>
              </w:rPr>
            </w:pPr>
            <w:r w:rsidRPr="00222FD3">
              <w:rPr>
                <w:rFonts w:ascii="Dia Regular" w:hAnsi="Dia Regular" w:cstheme="minorHAnsi"/>
                <w:b/>
                <w:bCs/>
                <w:sz w:val="22"/>
                <w:szCs w:val="22"/>
              </w:rPr>
              <w:t xml:space="preserve">Experience </w:t>
            </w:r>
          </w:p>
          <w:p w14:paraId="5A581D19" w14:textId="77777777" w:rsidR="00232A01" w:rsidRPr="00222FD3" w:rsidRDefault="00232A01" w:rsidP="009A5419">
            <w:pPr>
              <w:rPr>
                <w:rFonts w:ascii="Dia Regular" w:hAnsi="Dia Regular" w:cstheme="minorHAnsi"/>
              </w:rPr>
            </w:pPr>
          </w:p>
          <w:p w14:paraId="01612C91" w14:textId="77777777" w:rsidR="00232A01" w:rsidRPr="00222FD3" w:rsidRDefault="00232A01" w:rsidP="009A5419">
            <w:pPr>
              <w:rPr>
                <w:rFonts w:ascii="Dia Regular" w:hAnsi="Dia Regular" w:cstheme="minorHAnsi"/>
              </w:rPr>
            </w:pPr>
          </w:p>
          <w:p w14:paraId="07F75A0C" w14:textId="77777777" w:rsidR="00232A01" w:rsidRPr="00222FD3" w:rsidRDefault="00232A01" w:rsidP="009A5419">
            <w:pPr>
              <w:rPr>
                <w:rFonts w:ascii="Dia Regular" w:hAnsi="Dia Regular" w:cstheme="minorHAnsi"/>
              </w:rPr>
            </w:pPr>
          </w:p>
          <w:p w14:paraId="374627A6" w14:textId="77777777" w:rsidR="00232A01" w:rsidRPr="00222FD3" w:rsidRDefault="00232A01" w:rsidP="009A5419">
            <w:pPr>
              <w:rPr>
                <w:rFonts w:ascii="Dia Regular" w:hAnsi="Dia Regular" w:cstheme="minorHAnsi"/>
              </w:rPr>
            </w:pPr>
          </w:p>
          <w:p w14:paraId="196BCD82" w14:textId="77777777" w:rsidR="00232A01" w:rsidRPr="00222FD3" w:rsidRDefault="00232A01" w:rsidP="009A5419">
            <w:pPr>
              <w:pStyle w:val="Footer"/>
              <w:rPr>
                <w:rFonts w:ascii="Dia Regular" w:hAnsi="Dia Regular" w:cstheme="minorHAnsi"/>
                <w:sz w:val="22"/>
                <w:szCs w:val="22"/>
              </w:rPr>
            </w:pPr>
          </w:p>
        </w:tc>
        <w:tc>
          <w:tcPr>
            <w:tcW w:w="4536" w:type="dxa"/>
          </w:tcPr>
          <w:p w14:paraId="57B7A6E1" w14:textId="77777777" w:rsidR="00232A01" w:rsidRPr="00222FD3" w:rsidRDefault="00232A01" w:rsidP="00232A01">
            <w:pPr>
              <w:pStyle w:val="ListParagraph"/>
              <w:numPr>
                <w:ilvl w:val="0"/>
                <w:numId w:val="6"/>
              </w:numPr>
              <w:spacing w:after="0" w:line="240" w:lineRule="auto"/>
              <w:rPr>
                <w:rFonts w:ascii="Dia Regular" w:hAnsi="Dia Regular" w:cstheme="minorHAnsi"/>
              </w:rPr>
            </w:pPr>
            <w:r w:rsidRPr="00222FD3">
              <w:rPr>
                <w:rFonts w:ascii="Dia Regular" w:hAnsi="Dia Regular" w:cstheme="minorHAnsi"/>
              </w:rPr>
              <w:t>Proven track record of leadership and management capability in the higher education, or dramatic arts sectors</w:t>
            </w:r>
          </w:p>
          <w:p w14:paraId="3B89D77C" w14:textId="77777777" w:rsidR="00232A01" w:rsidRPr="00222FD3" w:rsidRDefault="00232A01" w:rsidP="00232A01">
            <w:pPr>
              <w:pStyle w:val="ListParagraph"/>
              <w:numPr>
                <w:ilvl w:val="0"/>
                <w:numId w:val="6"/>
              </w:numPr>
              <w:spacing w:after="0" w:line="240" w:lineRule="auto"/>
              <w:rPr>
                <w:rFonts w:ascii="Dia Regular" w:hAnsi="Dia Regular" w:cstheme="minorHAnsi"/>
              </w:rPr>
            </w:pPr>
            <w:r w:rsidRPr="00222FD3">
              <w:rPr>
                <w:rFonts w:ascii="Dia Regular" w:hAnsi="Dia Regular" w:cstheme="minorHAnsi"/>
              </w:rPr>
              <w:t xml:space="preserve">Experience of stakeholder management </w:t>
            </w:r>
          </w:p>
          <w:p w14:paraId="321C9068" w14:textId="77777777" w:rsidR="00232A01" w:rsidRPr="00222FD3" w:rsidRDefault="00232A01" w:rsidP="00232A01">
            <w:pPr>
              <w:pStyle w:val="ListParagraph"/>
              <w:numPr>
                <w:ilvl w:val="0"/>
                <w:numId w:val="6"/>
              </w:numPr>
              <w:spacing w:after="0" w:line="240" w:lineRule="auto"/>
              <w:rPr>
                <w:rFonts w:ascii="Dia Regular" w:hAnsi="Dia Regular" w:cstheme="minorHAnsi"/>
              </w:rPr>
            </w:pPr>
            <w:r w:rsidRPr="00222FD3">
              <w:rPr>
                <w:rFonts w:ascii="Dia Regular" w:hAnsi="Dia Regular" w:cstheme="minorHAnsi"/>
              </w:rPr>
              <w:t>Specialist knowledge and experience of dramatic arts training</w:t>
            </w:r>
          </w:p>
          <w:p w14:paraId="0CDCAFE4" w14:textId="77777777" w:rsidR="00232A01" w:rsidRPr="00222FD3" w:rsidRDefault="00232A01" w:rsidP="00232A01">
            <w:pPr>
              <w:pStyle w:val="ListParagraph"/>
              <w:numPr>
                <w:ilvl w:val="0"/>
                <w:numId w:val="6"/>
              </w:numPr>
              <w:spacing w:after="0" w:line="240" w:lineRule="auto"/>
              <w:rPr>
                <w:rFonts w:ascii="Dia Regular" w:hAnsi="Dia Regular" w:cstheme="minorHAnsi"/>
              </w:rPr>
            </w:pPr>
            <w:r w:rsidRPr="00222FD3">
              <w:rPr>
                <w:rFonts w:ascii="Dia Regular" w:hAnsi="Dia Regular" w:cstheme="minorHAnsi"/>
              </w:rPr>
              <w:t>Knowledge of equity issues in teaching and learning and student access, achievement and outcomes</w:t>
            </w:r>
          </w:p>
          <w:p w14:paraId="09546398" w14:textId="77777777" w:rsidR="00232A01" w:rsidRPr="00222FD3" w:rsidRDefault="00232A01" w:rsidP="00232A01">
            <w:pPr>
              <w:pStyle w:val="ListParagraph"/>
              <w:numPr>
                <w:ilvl w:val="0"/>
                <w:numId w:val="6"/>
              </w:numPr>
              <w:spacing w:after="0" w:line="240" w:lineRule="auto"/>
              <w:rPr>
                <w:rFonts w:ascii="Dia Regular" w:hAnsi="Dia Regular" w:cstheme="minorHAnsi"/>
              </w:rPr>
            </w:pPr>
            <w:r w:rsidRPr="00222FD3">
              <w:rPr>
                <w:rFonts w:ascii="Dia Regular" w:hAnsi="Dia Regular" w:cstheme="minorHAnsi"/>
              </w:rPr>
              <w:t>Experience in championing anti-racism and Equality, Diversity and Inclusion agenda</w:t>
            </w:r>
          </w:p>
          <w:p w14:paraId="057D86AE" w14:textId="77777777" w:rsidR="00232A01" w:rsidRPr="00222FD3" w:rsidRDefault="00232A01" w:rsidP="00232A01">
            <w:pPr>
              <w:pStyle w:val="ListParagraph"/>
              <w:numPr>
                <w:ilvl w:val="0"/>
                <w:numId w:val="6"/>
              </w:numPr>
              <w:spacing w:after="0" w:line="240" w:lineRule="auto"/>
              <w:rPr>
                <w:rFonts w:ascii="Dia Regular" w:hAnsi="Dia Regular" w:cstheme="minorHAnsi"/>
              </w:rPr>
            </w:pPr>
            <w:r w:rsidRPr="00222FD3">
              <w:rPr>
                <w:rFonts w:ascii="Dia Regular" w:hAnsi="Dia Regular" w:cstheme="minorHAnsi"/>
              </w:rPr>
              <w:t>Knowledge of current legislation and good practice in equality, diversity and inclusion and application to higher education</w:t>
            </w:r>
          </w:p>
          <w:p w14:paraId="3BA46720" w14:textId="77777777" w:rsidR="00232A01" w:rsidRPr="00222FD3" w:rsidRDefault="00232A01" w:rsidP="00232A01">
            <w:pPr>
              <w:pStyle w:val="ListParagraph"/>
              <w:numPr>
                <w:ilvl w:val="0"/>
                <w:numId w:val="6"/>
              </w:numPr>
              <w:spacing w:after="0" w:line="240" w:lineRule="auto"/>
              <w:rPr>
                <w:rFonts w:ascii="Dia Regular" w:hAnsi="Dia Regular" w:cstheme="minorHAnsi"/>
              </w:rPr>
            </w:pPr>
            <w:r w:rsidRPr="00222FD3">
              <w:rPr>
                <w:rFonts w:ascii="Dia Regular" w:hAnsi="Dia Regular" w:cstheme="minorHAnsi"/>
              </w:rPr>
              <w:t>Experience of managing budgets</w:t>
            </w:r>
          </w:p>
          <w:p w14:paraId="1BA13CDB" w14:textId="65C479A4" w:rsidR="00232A01" w:rsidRPr="00222FD3" w:rsidRDefault="00232A01" w:rsidP="009A5419">
            <w:pPr>
              <w:pStyle w:val="ListParagraph"/>
              <w:numPr>
                <w:ilvl w:val="0"/>
                <w:numId w:val="6"/>
              </w:numPr>
              <w:spacing w:after="0" w:line="240" w:lineRule="auto"/>
              <w:rPr>
                <w:rFonts w:ascii="Dia Regular" w:hAnsi="Dia Regular" w:cstheme="minorHAnsi"/>
              </w:rPr>
            </w:pPr>
            <w:r w:rsidRPr="00222FD3">
              <w:rPr>
                <w:rFonts w:ascii="Dia Regular" w:hAnsi="Dia Regular" w:cstheme="minorHAnsi"/>
              </w:rPr>
              <w:t>Strong and effective networks to continuously maintain knowledge and understanding of best practice in equality, diversity and inclusion</w:t>
            </w:r>
          </w:p>
        </w:tc>
        <w:tc>
          <w:tcPr>
            <w:tcW w:w="2551" w:type="dxa"/>
          </w:tcPr>
          <w:p w14:paraId="3AD21C99" w14:textId="2EBDB27B" w:rsidR="00232A01" w:rsidRPr="00222FD3" w:rsidRDefault="00232A01" w:rsidP="00EE679B">
            <w:pPr>
              <w:pStyle w:val="ListParagraph"/>
              <w:numPr>
                <w:ilvl w:val="0"/>
                <w:numId w:val="8"/>
              </w:numPr>
              <w:spacing w:after="0" w:line="240" w:lineRule="auto"/>
              <w:rPr>
                <w:rFonts w:ascii="Dia Regular" w:hAnsi="Dia Regular" w:cstheme="minorHAnsi"/>
              </w:rPr>
            </w:pPr>
            <w:r w:rsidRPr="00222FD3">
              <w:rPr>
                <w:rFonts w:ascii="Dia Regular" w:hAnsi="Dia Regular" w:cstheme="minorHAnsi"/>
              </w:rPr>
              <w:t>A track record in improving outcomes relating to equality, diversity and inclusion in higher education and particularly on race equity.</w:t>
            </w:r>
          </w:p>
          <w:p w14:paraId="3E74E796" w14:textId="5C6AEEEC" w:rsidR="00EE679B" w:rsidRPr="00222FD3" w:rsidRDefault="00EE679B" w:rsidP="00EE679B">
            <w:pPr>
              <w:pStyle w:val="ListParagraph"/>
              <w:numPr>
                <w:ilvl w:val="0"/>
                <w:numId w:val="8"/>
              </w:numPr>
              <w:spacing w:after="0" w:line="240" w:lineRule="auto"/>
              <w:rPr>
                <w:rFonts w:ascii="Dia Regular" w:hAnsi="Dia Regular" w:cstheme="minorHAnsi"/>
              </w:rPr>
            </w:pPr>
            <w:r w:rsidRPr="00222FD3">
              <w:rPr>
                <w:rFonts w:ascii="Dia Regular" w:hAnsi="Dia Regular" w:cstheme="minorHAnsi"/>
              </w:rPr>
              <w:t>Experience working in the creative industries.</w:t>
            </w:r>
          </w:p>
          <w:p w14:paraId="299FEDE1" w14:textId="77777777" w:rsidR="00232A01" w:rsidRPr="00222FD3" w:rsidRDefault="00232A01" w:rsidP="009A5419">
            <w:pPr>
              <w:rPr>
                <w:rFonts w:ascii="Dia Regular" w:hAnsi="Dia Regular" w:cstheme="minorHAnsi"/>
              </w:rPr>
            </w:pPr>
          </w:p>
        </w:tc>
      </w:tr>
      <w:tr w:rsidR="00232A01" w:rsidRPr="00222FD3" w14:paraId="7F1B9116" w14:textId="77777777" w:rsidTr="009A5419">
        <w:tc>
          <w:tcPr>
            <w:tcW w:w="1692" w:type="dxa"/>
          </w:tcPr>
          <w:p w14:paraId="745ACCC2" w14:textId="77777777" w:rsidR="00232A01" w:rsidRPr="00222FD3" w:rsidRDefault="00232A01" w:rsidP="009A5419">
            <w:pPr>
              <w:pStyle w:val="Heading3"/>
              <w:rPr>
                <w:rFonts w:ascii="Dia Regular" w:hAnsi="Dia Regular" w:cstheme="minorHAnsi"/>
                <w:b/>
                <w:bCs/>
                <w:sz w:val="22"/>
                <w:szCs w:val="22"/>
              </w:rPr>
            </w:pPr>
            <w:r w:rsidRPr="00222FD3">
              <w:rPr>
                <w:rFonts w:ascii="Dia Regular" w:hAnsi="Dia Regular" w:cstheme="minorHAnsi"/>
                <w:b/>
                <w:bCs/>
                <w:sz w:val="22"/>
                <w:szCs w:val="22"/>
              </w:rPr>
              <w:t>Personal Attributes</w:t>
            </w:r>
          </w:p>
          <w:p w14:paraId="5A6E2DC7" w14:textId="77777777" w:rsidR="00232A01" w:rsidRPr="00222FD3" w:rsidRDefault="00232A01" w:rsidP="009A5419">
            <w:pPr>
              <w:rPr>
                <w:rFonts w:ascii="Dia Regular" w:hAnsi="Dia Regular" w:cstheme="minorHAnsi"/>
                <w:b/>
                <w:bCs/>
              </w:rPr>
            </w:pPr>
          </w:p>
          <w:p w14:paraId="4FDF1C82" w14:textId="77777777" w:rsidR="00232A01" w:rsidRPr="00222FD3" w:rsidRDefault="00232A01" w:rsidP="009A5419">
            <w:pPr>
              <w:rPr>
                <w:rFonts w:ascii="Dia Regular" w:hAnsi="Dia Regular" w:cstheme="minorHAnsi"/>
                <w:b/>
                <w:bCs/>
              </w:rPr>
            </w:pPr>
          </w:p>
          <w:p w14:paraId="3D5592AD" w14:textId="77777777" w:rsidR="00232A01" w:rsidRPr="00222FD3" w:rsidRDefault="00232A01" w:rsidP="009A5419">
            <w:pPr>
              <w:rPr>
                <w:rFonts w:ascii="Dia Regular" w:hAnsi="Dia Regular" w:cstheme="minorHAnsi"/>
                <w:b/>
                <w:bCs/>
              </w:rPr>
            </w:pPr>
          </w:p>
          <w:p w14:paraId="16E8BC75" w14:textId="77777777" w:rsidR="00232A01" w:rsidRPr="00222FD3" w:rsidRDefault="00232A01" w:rsidP="009A5419">
            <w:pPr>
              <w:rPr>
                <w:rFonts w:ascii="Dia Regular" w:hAnsi="Dia Regular" w:cstheme="minorHAnsi"/>
                <w:b/>
                <w:bCs/>
              </w:rPr>
            </w:pPr>
          </w:p>
          <w:p w14:paraId="7992A486" w14:textId="77777777" w:rsidR="00232A01" w:rsidRPr="00222FD3" w:rsidRDefault="00232A01" w:rsidP="009A5419">
            <w:pPr>
              <w:rPr>
                <w:rFonts w:ascii="Dia Regular" w:hAnsi="Dia Regular" w:cstheme="minorHAnsi"/>
              </w:rPr>
            </w:pPr>
          </w:p>
        </w:tc>
        <w:tc>
          <w:tcPr>
            <w:tcW w:w="4536" w:type="dxa"/>
          </w:tcPr>
          <w:p w14:paraId="09BEA896" w14:textId="77777777" w:rsidR="00232A01" w:rsidRPr="00222FD3" w:rsidRDefault="00232A01" w:rsidP="00232A01">
            <w:pPr>
              <w:pStyle w:val="ListParagraph"/>
              <w:numPr>
                <w:ilvl w:val="0"/>
                <w:numId w:val="7"/>
              </w:numPr>
              <w:spacing w:after="0" w:line="240" w:lineRule="auto"/>
              <w:ind w:left="317" w:hanging="283"/>
              <w:rPr>
                <w:rFonts w:ascii="Dia Regular" w:hAnsi="Dia Regular" w:cstheme="minorHAnsi"/>
              </w:rPr>
            </w:pPr>
            <w:r w:rsidRPr="00222FD3">
              <w:rPr>
                <w:rFonts w:ascii="Dia Regular" w:hAnsi="Dia Regular" w:cstheme="minorHAnsi"/>
              </w:rPr>
              <w:t>Excellent interpersonal skills with a high degree of cross-cultural sensitivity</w:t>
            </w:r>
          </w:p>
          <w:p w14:paraId="7256385D" w14:textId="77777777" w:rsidR="00232A01" w:rsidRPr="00222FD3" w:rsidRDefault="00232A01" w:rsidP="00232A01">
            <w:pPr>
              <w:pStyle w:val="ListParagraph"/>
              <w:numPr>
                <w:ilvl w:val="0"/>
                <w:numId w:val="7"/>
              </w:numPr>
              <w:spacing w:after="0" w:line="240" w:lineRule="auto"/>
              <w:ind w:left="317" w:hanging="283"/>
              <w:rPr>
                <w:rFonts w:ascii="Dia Regular" w:hAnsi="Dia Regular" w:cstheme="minorHAnsi"/>
              </w:rPr>
            </w:pPr>
            <w:r w:rsidRPr="00222FD3">
              <w:rPr>
                <w:rFonts w:ascii="Dia Regular" w:hAnsi="Dia Regular" w:cstheme="minorHAnsi"/>
              </w:rPr>
              <w:t>Excellent communicator</w:t>
            </w:r>
          </w:p>
          <w:p w14:paraId="70BD38A0" w14:textId="77777777" w:rsidR="00232A01" w:rsidRPr="00222FD3" w:rsidRDefault="00232A01" w:rsidP="00232A01">
            <w:pPr>
              <w:pStyle w:val="ListParagraph"/>
              <w:numPr>
                <w:ilvl w:val="0"/>
                <w:numId w:val="7"/>
              </w:numPr>
              <w:spacing w:after="0" w:line="240" w:lineRule="auto"/>
              <w:ind w:left="317" w:hanging="283"/>
              <w:rPr>
                <w:rFonts w:ascii="Dia Regular" w:hAnsi="Dia Regular" w:cstheme="minorHAnsi"/>
              </w:rPr>
            </w:pPr>
            <w:r w:rsidRPr="00222FD3">
              <w:rPr>
                <w:rFonts w:ascii="Dia Regular" w:hAnsi="Dia Regular" w:cstheme="minorHAnsi"/>
              </w:rPr>
              <w:t>Strong leadership skills</w:t>
            </w:r>
          </w:p>
          <w:p w14:paraId="2632413F" w14:textId="77777777" w:rsidR="00232A01" w:rsidRPr="00222FD3" w:rsidRDefault="00232A01" w:rsidP="00232A01">
            <w:pPr>
              <w:pStyle w:val="ListParagraph"/>
              <w:numPr>
                <w:ilvl w:val="0"/>
                <w:numId w:val="7"/>
              </w:numPr>
              <w:spacing w:after="0" w:line="240" w:lineRule="auto"/>
              <w:ind w:left="317" w:hanging="283"/>
              <w:rPr>
                <w:rFonts w:ascii="Dia Regular" w:hAnsi="Dia Regular" w:cstheme="minorHAnsi"/>
              </w:rPr>
            </w:pPr>
            <w:r w:rsidRPr="00222FD3">
              <w:rPr>
                <w:rFonts w:ascii="Dia Regular" w:hAnsi="Dia Regular" w:cstheme="minorHAnsi"/>
              </w:rPr>
              <w:t>Builds consensus</w:t>
            </w:r>
          </w:p>
          <w:p w14:paraId="70FDCFBF" w14:textId="77777777" w:rsidR="00232A01" w:rsidRPr="00222FD3" w:rsidRDefault="00232A01" w:rsidP="00232A01">
            <w:pPr>
              <w:pStyle w:val="ListParagraph"/>
              <w:numPr>
                <w:ilvl w:val="0"/>
                <w:numId w:val="7"/>
              </w:numPr>
              <w:spacing w:after="0" w:line="240" w:lineRule="auto"/>
              <w:ind w:left="317" w:hanging="283"/>
              <w:rPr>
                <w:rFonts w:ascii="Dia Regular" w:hAnsi="Dia Regular" w:cstheme="minorHAnsi"/>
              </w:rPr>
            </w:pPr>
            <w:r w:rsidRPr="00222FD3">
              <w:rPr>
                <w:rFonts w:ascii="Dia Regular" w:hAnsi="Dia Regular" w:cstheme="minorHAnsi"/>
              </w:rPr>
              <w:t>Ability to work effectively under pressure</w:t>
            </w:r>
          </w:p>
        </w:tc>
        <w:tc>
          <w:tcPr>
            <w:tcW w:w="2551" w:type="dxa"/>
          </w:tcPr>
          <w:p w14:paraId="5417C5A0" w14:textId="77777777" w:rsidR="00232A01" w:rsidRPr="00222FD3" w:rsidRDefault="00232A01" w:rsidP="009A5419">
            <w:pPr>
              <w:pStyle w:val="ListParagraph"/>
              <w:rPr>
                <w:rFonts w:ascii="Dia Regular" w:hAnsi="Dia Regular" w:cstheme="minorHAnsi"/>
              </w:rPr>
            </w:pPr>
          </w:p>
          <w:p w14:paraId="2F05730D" w14:textId="77777777" w:rsidR="00232A01" w:rsidRPr="00222FD3" w:rsidRDefault="00232A01" w:rsidP="009A5419">
            <w:pPr>
              <w:rPr>
                <w:rFonts w:ascii="Dia Regular" w:eastAsia="Times New Roman" w:hAnsi="Dia Regular" w:cstheme="minorHAnsi"/>
              </w:rPr>
            </w:pPr>
          </w:p>
        </w:tc>
      </w:tr>
      <w:tr w:rsidR="00232A01" w:rsidRPr="00222FD3" w14:paraId="4BC15DF9" w14:textId="77777777" w:rsidTr="009A5419">
        <w:tc>
          <w:tcPr>
            <w:tcW w:w="1692" w:type="dxa"/>
          </w:tcPr>
          <w:p w14:paraId="5F99F140" w14:textId="77777777" w:rsidR="00232A01" w:rsidRPr="00222FD3" w:rsidRDefault="00232A01" w:rsidP="009A5419">
            <w:pPr>
              <w:pStyle w:val="Heading3"/>
              <w:rPr>
                <w:rFonts w:ascii="Dia Regular" w:hAnsi="Dia Regular" w:cstheme="minorHAnsi"/>
                <w:b/>
                <w:bCs/>
                <w:sz w:val="22"/>
                <w:szCs w:val="22"/>
              </w:rPr>
            </w:pPr>
            <w:r w:rsidRPr="00222FD3">
              <w:rPr>
                <w:rFonts w:ascii="Dia Regular" w:hAnsi="Dia Regular" w:cstheme="minorHAnsi"/>
                <w:b/>
                <w:bCs/>
                <w:sz w:val="22"/>
                <w:szCs w:val="22"/>
              </w:rPr>
              <w:t>Qualifications</w:t>
            </w:r>
          </w:p>
        </w:tc>
        <w:tc>
          <w:tcPr>
            <w:tcW w:w="4536" w:type="dxa"/>
          </w:tcPr>
          <w:p w14:paraId="2FC9129F" w14:textId="77777777" w:rsidR="00232A01" w:rsidRPr="00222FD3" w:rsidRDefault="00232A01" w:rsidP="00232A01">
            <w:pPr>
              <w:pStyle w:val="ListParagraph"/>
              <w:numPr>
                <w:ilvl w:val="0"/>
                <w:numId w:val="7"/>
              </w:numPr>
              <w:spacing w:after="0" w:line="240" w:lineRule="auto"/>
              <w:ind w:left="459" w:hanging="459"/>
              <w:rPr>
                <w:rFonts w:ascii="Dia Regular" w:hAnsi="Dia Regular" w:cstheme="minorHAnsi"/>
              </w:rPr>
            </w:pPr>
            <w:r w:rsidRPr="00222FD3">
              <w:rPr>
                <w:rFonts w:ascii="Dia Regular" w:hAnsi="Dia Regular" w:cstheme="minorHAnsi"/>
              </w:rPr>
              <w:t xml:space="preserve">Educated to degree level or equivalent </w:t>
            </w:r>
          </w:p>
        </w:tc>
        <w:tc>
          <w:tcPr>
            <w:tcW w:w="2551" w:type="dxa"/>
          </w:tcPr>
          <w:p w14:paraId="4FDC2697" w14:textId="77777777" w:rsidR="00232A01" w:rsidRPr="00222FD3" w:rsidRDefault="00232A01" w:rsidP="009A5419">
            <w:pPr>
              <w:pStyle w:val="ListParagraph"/>
              <w:rPr>
                <w:rFonts w:ascii="Dia Regular" w:hAnsi="Dia Regular" w:cstheme="minorHAnsi"/>
              </w:rPr>
            </w:pPr>
          </w:p>
        </w:tc>
      </w:tr>
    </w:tbl>
    <w:p w14:paraId="27CBB88C" w14:textId="6AB2F67A" w:rsidR="006F1F1C" w:rsidRPr="00222FD3" w:rsidRDefault="006F1F1C" w:rsidP="0086615B">
      <w:pPr>
        <w:spacing w:after="0"/>
        <w:rPr>
          <w:rFonts w:ascii="Dia Regular" w:hAnsi="Dia Regular" w:cstheme="minorHAnsi"/>
        </w:rPr>
      </w:pPr>
      <w:r w:rsidRPr="00222FD3">
        <w:rPr>
          <w:rFonts w:ascii="Dia Regular" w:hAnsi="Dia Regular" w:cstheme="minorHAnsi"/>
        </w:rPr>
        <w:t>July 2021</w:t>
      </w:r>
    </w:p>
    <w:sectPr w:rsidR="006F1F1C" w:rsidRPr="00222FD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41A5F" w14:textId="77777777" w:rsidR="00A31A97" w:rsidRDefault="00A31A97" w:rsidP="0015710C">
      <w:pPr>
        <w:spacing w:after="0" w:line="240" w:lineRule="auto"/>
      </w:pPr>
      <w:r>
        <w:separator/>
      </w:r>
    </w:p>
  </w:endnote>
  <w:endnote w:type="continuationSeparator" w:id="0">
    <w:p w14:paraId="35C9C50A" w14:textId="77777777" w:rsidR="00A31A97" w:rsidRDefault="00A31A97" w:rsidP="00157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a Regular">
    <w:altName w:val="﷽﷽﷽﷽﷽﷽﷽﷽ic"/>
    <w:panose1 w:val="020B0604020202020204"/>
    <w:charset w:val="4D"/>
    <w:family w:val="swiss"/>
    <w:notTrueType/>
    <w:pitch w:val="variable"/>
    <w:sig w:usb0="A000002F" w:usb1="4000247B" w:usb2="00000000" w:usb3="00000000" w:csb0="00000093" w:csb1="00000000"/>
  </w:font>
  <w:font w:name="Gotham Book">
    <w:altName w:val="Century"/>
    <w:panose1 w:val="020B0604020202020204"/>
    <w:charset w:val="00"/>
    <w:family w:val="modern"/>
    <w:notTrueType/>
    <w:pitch w:val="variable"/>
    <w:sig w:usb0="00000087" w:usb1="00000000"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59BDE" w14:textId="77777777" w:rsidR="00A31A97" w:rsidRDefault="00A31A97" w:rsidP="0015710C">
      <w:pPr>
        <w:spacing w:after="0" w:line="240" w:lineRule="auto"/>
      </w:pPr>
      <w:r>
        <w:separator/>
      </w:r>
    </w:p>
  </w:footnote>
  <w:footnote w:type="continuationSeparator" w:id="0">
    <w:p w14:paraId="2984B20C" w14:textId="77777777" w:rsidR="00A31A97" w:rsidRDefault="00A31A97" w:rsidP="00157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96DA1" w14:textId="270FEF28" w:rsidR="0015710C" w:rsidRPr="0015710C" w:rsidRDefault="0015710C" w:rsidP="0015710C">
    <w:pPr>
      <w:pStyle w:val="Header"/>
    </w:pPr>
    <w:r>
      <w:rPr>
        <w:noProof/>
      </w:rPr>
      <w:drawing>
        <wp:anchor distT="0" distB="0" distL="114300" distR="114300" simplePos="0" relativeHeight="251658240" behindDoc="1" locked="0" layoutInCell="1" allowOverlap="1" wp14:anchorId="29568FA6" wp14:editId="17D366C7">
          <wp:simplePos x="0" y="0"/>
          <wp:positionH relativeFrom="column">
            <wp:posOffset>-466725</wp:posOffset>
          </wp:positionH>
          <wp:positionV relativeFrom="paragraph">
            <wp:posOffset>-175260</wp:posOffset>
          </wp:positionV>
          <wp:extent cx="1381760" cy="450687"/>
          <wp:effectExtent l="0" t="0" r="254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1760" cy="4506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9530E"/>
    <w:multiLevelType w:val="hybridMultilevel"/>
    <w:tmpl w:val="0E2AA5B8"/>
    <w:lvl w:ilvl="0" w:tplc="0809000F">
      <w:start w:val="5"/>
      <w:numFmt w:val="decimal"/>
      <w:lvlText w:val="%1."/>
      <w:lvlJc w:val="left"/>
      <w:pPr>
        <w:ind w:left="360" w:hanging="360"/>
      </w:pPr>
      <w:rPr>
        <w:rFonts w:hint="default"/>
      </w:rPr>
    </w:lvl>
    <w:lvl w:ilvl="1" w:tplc="08090001">
      <w:start w:val="1"/>
      <w:numFmt w:val="bullet"/>
      <w:lvlText w:val=""/>
      <w:lvlJc w:val="left"/>
      <w:pPr>
        <w:ind w:left="72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305359"/>
    <w:multiLevelType w:val="hybridMultilevel"/>
    <w:tmpl w:val="7A86F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85908"/>
    <w:multiLevelType w:val="hybridMultilevel"/>
    <w:tmpl w:val="A79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613B1"/>
    <w:multiLevelType w:val="hybridMultilevel"/>
    <w:tmpl w:val="82685010"/>
    <w:lvl w:ilvl="0" w:tplc="0809000F">
      <w:start w:val="5"/>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58201ED"/>
    <w:multiLevelType w:val="multilevel"/>
    <w:tmpl w:val="AEB4A86E"/>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964"/>
        </w:tabs>
        <w:ind w:left="964" w:hanging="397"/>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AB86E22"/>
    <w:multiLevelType w:val="hybridMultilevel"/>
    <w:tmpl w:val="ABF66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05690B"/>
    <w:multiLevelType w:val="hybridMultilevel"/>
    <w:tmpl w:val="E5103196"/>
    <w:lvl w:ilvl="0" w:tplc="0A92DF08">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390B06"/>
    <w:multiLevelType w:val="hybridMultilevel"/>
    <w:tmpl w:val="B7F61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3F6464"/>
    <w:multiLevelType w:val="hybridMultilevel"/>
    <w:tmpl w:val="2DB6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B94402"/>
    <w:multiLevelType w:val="hybridMultilevel"/>
    <w:tmpl w:val="829E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271956"/>
    <w:multiLevelType w:val="hybridMultilevel"/>
    <w:tmpl w:val="156C2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8"/>
  </w:num>
  <w:num w:numId="4">
    <w:abstractNumId w:val="9"/>
  </w:num>
  <w:num w:numId="5">
    <w:abstractNumId w:val="2"/>
  </w:num>
  <w:num w:numId="6">
    <w:abstractNumId w:val="10"/>
  </w:num>
  <w:num w:numId="7">
    <w:abstractNumId w:val="7"/>
  </w:num>
  <w:num w:numId="8">
    <w:abstractNumId w:val="5"/>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15B"/>
    <w:rsid w:val="00060615"/>
    <w:rsid w:val="00086F50"/>
    <w:rsid w:val="000C33FB"/>
    <w:rsid w:val="000C574D"/>
    <w:rsid w:val="000E008A"/>
    <w:rsid w:val="000E2B6D"/>
    <w:rsid w:val="000F0D9F"/>
    <w:rsid w:val="001221FE"/>
    <w:rsid w:val="001477EB"/>
    <w:rsid w:val="00155AF1"/>
    <w:rsid w:val="0015710C"/>
    <w:rsid w:val="0018251B"/>
    <w:rsid w:val="00182DE1"/>
    <w:rsid w:val="001C67FB"/>
    <w:rsid w:val="001C7997"/>
    <w:rsid w:val="001F1194"/>
    <w:rsid w:val="00222FD3"/>
    <w:rsid w:val="00232A01"/>
    <w:rsid w:val="00232BD6"/>
    <w:rsid w:val="00235CC4"/>
    <w:rsid w:val="00263745"/>
    <w:rsid w:val="00281495"/>
    <w:rsid w:val="0028577C"/>
    <w:rsid w:val="00291307"/>
    <w:rsid w:val="00292B09"/>
    <w:rsid w:val="002B405C"/>
    <w:rsid w:val="002C432E"/>
    <w:rsid w:val="002C7715"/>
    <w:rsid w:val="003006F3"/>
    <w:rsid w:val="00390B10"/>
    <w:rsid w:val="003A5AD4"/>
    <w:rsid w:val="003C37AE"/>
    <w:rsid w:val="003E6A05"/>
    <w:rsid w:val="003F3247"/>
    <w:rsid w:val="004053B6"/>
    <w:rsid w:val="004068CD"/>
    <w:rsid w:val="004520E9"/>
    <w:rsid w:val="00464F82"/>
    <w:rsid w:val="004A36F8"/>
    <w:rsid w:val="004A3AED"/>
    <w:rsid w:val="004C335A"/>
    <w:rsid w:val="004F23A4"/>
    <w:rsid w:val="00543DC9"/>
    <w:rsid w:val="005527A6"/>
    <w:rsid w:val="00565822"/>
    <w:rsid w:val="005675B3"/>
    <w:rsid w:val="00570BB3"/>
    <w:rsid w:val="005A35B8"/>
    <w:rsid w:val="005B69B6"/>
    <w:rsid w:val="005D05BB"/>
    <w:rsid w:val="00622074"/>
    <w:rsid w:val="00636BAF"/>
    <w:rsid w:val="00645CDA"/>
    <w:rsid w:val="00686094"/>
    <w:rsid w:val="006B68E5"/>
    <w:rsid w:val="006C06AF"/>
    <w:rsid w:val="006D5490"/>
    <w:rsid w:val="006F1218"/>
    <w:rsid w:val="006F1F1C"/>
    <w:rsid w:val="007152F2"/>
    <w:rsid w:val="0072416F"/>
    <w:rsid w:val="00737452"/>
    <w:rsid w:val="0077027B"/>
    <w:rsid w:val="00774CE7"/>
    <w:rsid w:val="0077730E"/>
    <w:rsid w:val="007B1826"/>
    <w:rsid w:val="007B52EB"/>
    <w:rsid w:val="007B52F2"/>
    <w:rsid w:val="00806EAE"/>
    <w:rsid w:val="00817F60"/>
    <w:rsid w:val="0083680C"/>
    <w:rsid w:val="008506BC"/>
    <w:rsid w:val="00853622"/>
    <w:rsid w:val="00863F48"/>
    <w:rsid w:val="0086615B"/>
    <w:rsid w:val="00867449"/>
    <w:rsid w:val="00885974"/>
    <w:rsid w:val="008C7A84"/>
    <w:rsid w:val="008E741D"/>
    <w:rsid w:val="009139B6"/>
    <w:rsid w:val="00940AEB"/>
    <w:rsid w:val="00940D4C"/>
    <w:rsid w:val="00983D64"/>
    <w:rsid w:val="009A476A"/>
    <w:rsid w:val="009B101B"/>
    <w:rsid w:val="009B52C7"/>
    <w:rsid w:val="009D22D3"/>
    <w:rsid w:val="009D2BA5"/>
    <w:rsid w:val="009D778B"/>
    <w:rsid w:val="009E2177"/>
    <w:rsid w:val="009E3E18"/>
    <w:rsid w:val="009E5D12"/>
    <w:rsid w:val="009F1096"/>
    <w:rsid w:val="00A238DC"/>
    <w:rsid w:val="00A31A97"/>
    <w:rsid w:val="00A357F8"/>
    <w:rsid w:val="00A72450"/>
    <w:rsid w:val="00A7748E"/>
    <w:rsid w:val="00A85BB5"/>
    <w:rsid w:val="00A96CA7"/>
    <w:rsid w:val="00AA1BA7"/>
    <w:rsid w:val="00AB5760"/>
    <w:rsid w:val="00AC31DA"/>
    <w:rsid w:val="00AE6ED4"/>
    <w:rsid w:val="00B1106F"/>
    <w:rsid w:val="00B33A1E"/>
    <w:rsid w:val="00B4159B"/>
    <w:rsid w:val="00B42C7E"/>
    <w:rsid w:val="00B457F6"/>
    <w:rsid w:val="00B61151"/>
    <w:rsid w:val="00B7383A"/>
    <w:rsid w:val="00B9275C"/>
    <w:rsid w:val="00B93B36"/>
    <w:rsid w:val="00BB4CDD"/>
    <w:rsid w:val="00BD7EEB"/>
    <w:rsid w:val="00BE1A18"/>
    <w:rsid w:val="00C20A6A"/>
    <w:rsid w:val="00C45F29"/>
    <w:rsid w:val="00CA7C15"/>
    <w:rsid w:val="00CB7C1E"/>
    <w:rsid w:val="00CE7923"/>
    <w:rsid w:val="00D04D82"/>
    <w:rsid w:val="00D266FA"/>
    <w:rsid w:val="00D32BB9"/>
    <w:rsid w:val="00D35295"/>
    <w:rsid w:val="00D83DD4"/>
    <w:rsid w:val="00D8770C"/>
    <w:rsid w:val="00D9563C"/>
    <w:rsid w:val="00D958DE"/>
    <w:rsid w:val="00DA627E"/>
    <w:rsid w:val="00DB6AB3"/>
    <w:rsid w:val="00DD454C"/>
    <w:rsid w:val="00DE1E87"/>
    <w:rsid w:val="00DE3D0D"/>
    <w:rsid w:val="00E5416F"/>
    <w:rsid w:val="00E662F6"/>
    <w:rsid w:val="00E729FA"/>
    <w:rsid w:val="00E7715C"/>
    <w:rsid w:val="00E777DF"/>
    <w:rsid w:val="00E914F2"/>
    <w:rsid w:val="00EA4651"/>
    <w:rsid w:val="00EB19D4"/>
    <w:rsid w:val="00EE188D"/>
    <w:rsid w:val="00EE2EB9"/>
    <w:rsid w:val="00EE679B"/>
    <w:rsid w:val="00EF481A"/>
    <w:rsid w:val="00F07351"/>
    <w:rsid w:val="00F20A36"/>
    <w:rsid w:val="00F25519"/>
    <w:rsid w:val="00F857E8"/>
    <w:rsid w:val="00FA3B8F"/>
    <w:rsid w:val="00FD2866"/>
    <w:rsid w:val="00FE4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07363"/>
  <w15:chartTrackingRefBased/>
  <w15:docId w15:val="{FBF7BD30-06A4-49F0-971D-4FE1770F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32A01"/>
    <w:pPr>
      <w:keepNext/>
      <w:spacing w:after="0" w:line="240" w:lineRule="auto"/>
      <w:jc w:val="both"/>
      <w:outlineLvl w:val="0"/>
    </w:pPr>
    <w:rPr>
      <w:rFonts w:ascii="Times New Roman" w:eastAsia="Times New Roman" w:hAnsi="Times New Roman" w:cs="Times New Roman"/>
      <w:i/>
      <w:iCs/>
      <w:sz w:val="24"/>
      <w:szCs w:val="24"/>
    </w:rPr>
  </w:style>
  <w:style w:type="paragraph" w:styleId="Heading3">
    <w:name w:val="heading 3"/>
    <w:basedOn w:val="Normal"/>
    <w:next w:val="Normal"/>
    <w:link w:val="Heading3Char"/>
    <w:qFormat/>
    <w:rsid w:val="00232A01"/>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CDA"/>
    <w:pPr>
      <w:ind w:left="720"/>
      <w:contextualSpacing/>
    </w:pPr>
  </w:style>
  <w:style w:type="character" w:customStyle="1" w:styleId="Heading1Char">
    <w:name w:val="Heading 1 Char"/>
    <w:basedOn w:val="DefaultParagraphFont"/>
    <w:link w:val="Heading1"/>
    <w:rsid w:val="00232A01"/>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232A01"/>
    <w:rPr>
      <w:rFonts w:ascii="Times New Roman" w:eastAsia="Times New Roman" w:hAnsi="Times New Roman" w:cs="Times New Roman"/>
      <w:sz w:val="24"/>
      <w:szCs w:val="20"/>
      <w:lang w:val="en-US"/>
    </w:rPr>
  </w:style>
  <w:style w:type="paragraph" w:styleId="Footer">
    <w:name w:val="footer"/>
    <w:basedOn w:val="Normal"/>
    <w:link w:val="FooterChar"/>
    <w:unhideWhenUsed/>
    <w:rsid w:val="00232A01"/>
    <w:pPr>
      <w:tabs>
        <w:tab w:val="center" w:pos="4513"/>
        <w:tab w:val="right" w:pos="9026"/>
      </w:tabs>
      <w:spacing w:after="0" w:line="240" w:lineRule="auto"/>
    </w:pPr>
    <w:rPr>
      <w:rFonts w:eastAsiaTheme="minorEastAsia"/>
      <w:sz w:val="24"/>
      <w:szCs w:val="24"/>
      <w:lang w:val="en-US"/>
    </w:rPr>
  </w:style>
  <w:style w:type="character" w:customStyle="1" w:styleId="FooterChar">
    <w:name w:val="Footer Char"/>
    <w:basedOn w:val="DefaultParagraphFont"/>
    <w:link w:val="Footer"/>
    <w:rsid w:val="00232A01"/>
    <w:rPr>
      <w:rFonts w:eastAsiaTheme="minorEastAsia"/>
      <w:sz w:val="24"/>
      <w:szCs w:val="24"/>
      <w:lang w:val="en-US"/>
    </w:rPr>
  </w:style>
  <w:style w:type="paragraph" w:styleId="Header">
    <w:name w:val="header"/>
    <w:basedOn w:val="Normal"/>
    <w:link w:val="HeaderChar"/>
    <w:uiPriority w:val="99"/>
    <w:unhideWhenUsed/>
    <w:rsid w:val="00157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10C"/>
  </w:style>
  <w:style w:type="character" w:styleId="Emphasis">
    <w:name w:val="Emphasis"/>
    <w:basedOn w:val="DefaultParagraphFont"/>
    <w:uiPriority w:val="20"/>
    <w:qFormat/>
    <w:rsid w:val="00E7715C"/>
    <w:rPr>
      <w:i/>
      <w:iCs/>
    </w:rPr>
  </w:style>
  <w:style w:type="character" w:customStyle="1" w:styleId="apple-converted-space">
    <w:name w:val="apple-converted-space"/>
    <w:basedOn w:val="DefaultParagraphFont"/>
    <w:rsid w:val="00E7715C"/>
  </w:style>
  <w:style w:type="character" w:customStyle="1" w:styleId="normaltextrun">
    <w:name w:val="normaltextrun"/>
    <w:basedOn w:val="DefaultParagraphFont"/>
    <w:rsid w:val="00806EAE"/>
  </w:style>
  <w:style w:type="paragraph" w:styleId="Title">
    <w:name w:val="Title"/>
    <w:basedOn w:val="Normal"/>
    <w:link w:val="TitleChar"/>
    <w:qFormat/>
    <w:rsid w:val="00BD7EEB"/>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BD7EEB"/>
    <w:rPr>
      <w:rFonts w:ascii="Arial" w:eastAsia="Times New Roman" w:hAnsi="Arial" w:cs="Arial"/>
      <w:b/>
      <w:bCs/>
      <w:sz w:val="24"/>
      <w:szCs w:val="24"/>
    </w:rPr>
  </w:style>
  <w:style w:type="table" w:styleId="TableGrid">
    <w:name w:val="Table Grid"/>
    <w:basedOn w:val="TableNormal"/>
    <w:uiPriority w:val="39"/>
    <w:rsid w:val="00BD7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579256">
      <w:bodyDiv w:val="1"/>
      <w:marLeft w:val="0"/>
      <w:marRight w:val="0"/>
      <w:marTop w:val="0"/>
      <w:marBottom w:val="0"/>
      <w:divBdr>
        <w:top w:val="none" w:sz="0" w:space="0" w:color="auto"/>
        <w:left w:val="none" w:sz="0" w:space="0" w:color="auto"/>
        <w:bottom w:val="none" w:sz="0" w:space="0" w:color="auto"/>
        <w:right w:val="none" w:sz="0" w:space="0" w:color="auto"/>
      </w:divBdr>
    </w:div>
    <w:div w:id="107933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F057986F2442479A4AEF4A5EA4FA01" ma:contentTypeVersion="11" ma:contentTypeDescription="Create a new document." ma:contentTypeScope="" ma:versionID="7ba12925b50a9d9b2e1c6c9c94d19c6e">
  <xsd:schema xmlns:xsd="http://www.w3.org/2001/XMLSchema" xmlns:xs="http://www.w3.org/2001/XMLSchema" xmlns:p="http://schemas.microsoft.com/office/2006/metadata/properties" xmlns:ns2="063015f1-bb65-46ee-92e0-9a111d3567c5" xmlns:ns3="579bafac-b7d1-46a0-8a6e-f895faf3db2d" targetNamespace="http://schemas.microsoft.com/office/2006/metadata/properties" ma:root="true" ma:fieldsID="93b12404079662c76ebe699b1e22bc88" ns2:_="" ns3:_="">
    <xsd:import namespace="063015f1-bb65-46ee-92e0-9a111d3567c5"/>
    <xsd:import namespace="579bafac-b7d1-46a0-8a6e-f895faf3db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015f1-bb65-46ee-92e0-9a111d356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9bafac-b7d1-46a0-8a6e-f895faf3db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68337C-541A-412A-9659-4707630B2508}">
  <ds:schemaRefs>
    <ds:schemaRef ds:uri="http://schemas.microsoft.com/sharepoint/v3/contenttype/forms"/>
  </ds:schemaRefs>
</ds:datastoreItem>
</file>

<file path=customXml/itemProps2.xml><?xml version="1.0" encoding="utf-8"?>
<ds:datastoreItem xmlns:ds="http://schemas.openxmlformats.org/officeDocument/2006/customXml" ds:itemID="{66866CF8-E0C0-4A60-9C21-7BEB8CFC9A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550771-1147-4E9C-A48F-30D5A0778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015f1-bb65-46ee-92e0-9a111d3567c5"/>
    <ds:schemaRef ds:uri="579bafac-b7d1-46a0-8a6e-f895faf3db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1392</Words>
  <Characters>7229</Characters>
  <Application>Microsoft Office Word</Application>
  <DocSecurity>0</DocSecurity>
  <Lines>657</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Oliver</dc:creator>
  <cp:keywords/>
  <dc:description/>
  <cp:lastModifiedBy>Helen Slater</cp:lastModifiedBy>
  <cp:revision>26</cp:revision>
  <dcterms:created xsi:type="dcterms:W3CDTF">2021-07-06T15:13:00Z</dcterms:created>
  <dcterms:modified xsi:type="dcterms:W3CDTF">2021-07-14T10:28:00Z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0x01010020F057986F2442479A4AEF4A5EA4FA01</vt:lpwstr>
  </property>
</Properties>
</file>