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B7" w:rsidRPr="00C73F6A" w:rsidRDefault="00417EB7" w:rsidP="00B54542">
      <w:pPr>
        <w:spacing w:after="0" w:line="240" w:lineRule="auto"/>
        <w:ind w:left="-426"/>
        <w:rPr>
          <w:b/>
          <w:noProof/>
          <w:lang w:eastAsia="en-GB"/>
        </w:rPr>
      </w:pPr>
      <w:bookmarkStart w:id="0" w:name="_GoBack"/>
      <w:bookmarkEnd w:id="0"/>
      <w:permStart w:id="603328877" w:edGrp="everyone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E2877B" wp14:editId="6E746B33">
            <wp:simplePos x="0" y="0"/>
            <wp:positionH relativeFrom="column">
              <wp:posOffset>-268605</wp:posOffset>
            </wp:positionH>
            <wp:positionV relativeFrom="page">
              <wp:posOffset>361950</wp:posOffset>
            </wp:positionV>
            <wp:extent cx="1714500" cy="40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A_logo_without_b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603328877"/>
    </w:p>
    <w:p w:rsidR="00417EB7" w:rsidRPr="00C73F6A" w:rsidRDefault="00417EB7" w:rsidP="00B54542">
      <w:pPr>
        <w:spacing w:after="0" w:line="240" w:lineRule="auto"/>
        <w:rPr>
          <w:b/>
          <w:noProof/>
          <w:lang w:eastAsia="en-GB"/>
        </w:rPr>
      </w:pPr>
    </w:p>
    <w:p w:rsidR="00417EB7" w:rsidRDefault="00417EB7" w:rsidP="00B54542">
      <w:pPr>
        <w:spacing w:after="0" w:line="240" w:lineRule="auto"/>
        <w:rPr>
          <w:b/>
          <w:noProof/>
          <w:lang w:eastAsia="en-GB"/>
        </w:rPr>
      </w:pPr>
    </w:p>
    <w:p w:rsidR="00417EB7" w:rsidRDefault="00417EB7" w:rsidP="00B54542">
      <w:pPr>
        <w:spacing w:after="0" w:line="240" w:lineRule="auto"/>
        <w:rPr>
          <w:b/>
          <w:noProof/>
          <w:lang w:eastAsia="en-GB"/>
        </w:rPr>
      </w:pPr>
    </w:p>
    <w:p w:rsidR="00417EB7" w:rsidRDefault="00417EB7" w:rsidP="00B54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5ED5">
        <w:rPr>
          <w:rFonts w:ascii="Arial" w:hAnsi="Arial" w:cs="Arial"/>
          <w:b/>
          <w:sz w:val="20"/>
          <w:szCs w:val="20"/>
        </w:rPr>
        <w:t>Job Description</w:t>
      </w:r>
    </w:p>
    <w:p w:rsidR="005C1B7B" w:rsidRPr="00E95ED5" w:rsidRDefault="005C1B7B" w:rsidP="00B54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003"/>
      </w:tblGrid>
      <w:tr w:rsidR="00417EB7" w:rsidRPr="00E95ED5" w:rsidTr="005C1B7B">
        <w:tc>
          <w:tcPr>
            <w:tcW w:w="3348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003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 Officer, Individual Giving </w:t>
            </w:r>
            <w:r w:rsidRPr="00E95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3348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Reports to (Title):</w:t>
            </w:r>
          </w:p>
        </w:tc>
        <w:tc>
          <w:tcPr>
            <w:tcW w:w="6003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ED5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>
              <w:rPr>
                <w:rFonts w:ascii="Arial" w:hAnsi="Arial" w:cs="Arial"/>
                <w:sz w:val="20"/>
                <w:szCs w:val="20"/>
              </w:rPr>
              <w:t xml:space="preserve">Individual Giving 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3348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Reports to (Name):</w:t>
            </w:r>
          </w:p>
        </w:tc>
        <w:tc>
          <w:tcPr>
            <w:tcW w:w="6003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TBC 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3348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Responsible for:</w:t>
            </w:r>
          </w:p>
        </w:tc>
        <w:tc>
          <w:tcPr>
            <w:tcW w:w="6003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95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1A9" w:rsidRPr="00E95ED5" w:rsidRDefault="009D01A9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1"/>
      </w:tblGrid>
      <w:tr w:rsidR="00417EB7" w:rsidRPr="00E95ED5" w:rsidTr="005C1B7B">
        <w:tc>
          <w:tcPr>
            <w:tcW w:w="9351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Overview: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9351" w:type="dxa"/>
          </w:tcPr>
          <w:p w:rsidR="00417EB7" w:rsidRPr="00E95ED5" w:rsidRDefault="00417EB7" w:rsidP="00B545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is a fantastic opportunity to join RADA’s Development Department at an exciting point in our history. </w:t>
            </w:r>
          </w:p>
          <w:p w:rsidR="00417EB7" w:rsidRPr="00E95ED5" w:rsidRDefault="00417EB7" w:rsidP="00B545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We have ambitious plans, including a transformative capital campaign, and a long-term, strategic aim to significantly increase revenue fundraising. </w:t>
            </w:r>
          </w:p>
          <w:p w:rsidR="00417EB7" w:rsidRPr="00E95ED5" w:rsidRDefault="00417EB7" w:rsidP="00B545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Our global reputation for excellence, combined with our graduates, who are often among the most respected actors, theatre makers and technicians in the world, present a particular fundraising opportunity for RADA.  </w:t>
            </w:r>
          </w:p>
          <w:p w:rsidR="00417EB7" w:rsidRPr="00E95ED5" w:rsidRDefault="00417EB7" w:rsidP="00B545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>Based in central London this is an opportun</w:t>
            </w:r>
            <w:r w:rsidR="009D61DC">
              <w:rPr>
                <w:rFonts w:ascii="Arial" w:hAnsi="Arial" w:cs="Arial"/>
                <w:color w:val="000000"/>
                <w:sz w:val="20"/>
                <w:szCs w:val="20"/>
              </w:rPr>
              <w:t>ity for the right person to support</w:t>
            </w: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 the</w:t>
            </w:r>
            <w:r w:rsidR="009D61DC">
              <w:rPr>
                <w:rFonts w:ascii="Arial" w:hAnsi="Arial" w:cs="Arial"/>
                <w:color w:val="000000"/>
                <w:sz w:val="20"/>
                <w:szCs w:val="20"/>
              </w:rPr>
              <w:t xml:space="preserve"> Head of Individual Giving and help to shape</w:t>
            </w: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 RADA’s future.</w:t>
            </w:r>
          </w:p>
          <w:p w:rsidR="00417EB7" w:rsidRPr="00E95ED5" w:rsidRDefault="00417EB7" w:rsidP="00B5454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9351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Prime Function of Role: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B7" w:rsidRPr="00E95ED5" w:rsidTr="005C1B7B">
        <w:tc>
          <w:tcPr>
            <w:tcW w:w="9351" w:type="dxa"/>
          </w:tcPr>
          <w:p w:rsidR="00417EB7" w:rsidRDefault="00417EB7" w:rsidP="00B545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Regular Giving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t</w:t>
            </w:r>
            <w:r w:rsidRPr="00E95ED5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 delivery of RADA’s regular giving programmes, including RADA Friends, the Richard Attenborough Club and Supporters Circles. </w:t>
            </w:r>
          </w:p>
          <w:p w:rsidR="00350ECC" w:rsidRDefault="00350ECC" w:rsidP="00B545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2FC5" w:rsidRPr="00223D5E" w:rsidRDefault="00223D5E" w:rsidP="00B545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Major </w:t>
            </w:r>
            <w:r w:rsidRPr="00223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donors</w:t>
            </w:r>
            <w:r w:rsidR="00417EB7" w:rsidRPr="00223D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23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 one-off donations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2FC5">
              <w:rPr>
                <w:rFonts w:ascii="Arial" w:hAnsi="Arial" w:cs="Arial"/>
                <w:color w:val="000000"/>
                <w:sz w:val="20"/>
                <w:szCs w:val="20"/>
              </w:rPr>
              <w:t>– to support the Head of Individual Giving in steward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ship of major donors and </w:t>
            </w:r>
            <w:r w:rsidR="00842FC5" w:rsidRPr="00223D5E">
              <w:rPr>
                <w:rFonts w:ascii="Arial" w:hAnsi="Arial" w:cs="Arial"/>
                <w:color w:val="000000"/>
                <w:sz w:val="20"/>
                <w:szCs w:val="20"/>
              </w:rPr>
              <w:t>to oversee the administration of one-off donations gifted outside of regular giving schemes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42FC5" w:rsidRPr="00223D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42FC5" w:rsidRPr="00842FC5" w:rsidRDefault="00842FC5" w:rsidP="00B545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1"/>
      </w:tblGrid>
      <w:tr w:rsidR="00417EB7" w:rsidRPr="00E95ED5" w:rsidTr="005C1B7B">
        <w:tc>
          <w:tcPr>
            <w:tcW w:w="9351" w:type="dxa"/>
          </w:tcPr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Accountabilities &amp; Tasks</w:t>
            </w:r>
          </w:p>
          <w:p w:rsidR="00223D5E" w:rsidRPr="00E95ED5" w:rsidRDefault="00223D5E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B7" w:rsidRPr="00E95ED5" w:rsidTr="005C1B7B">
        <w:trPr>
          <w:trHeight w:val="915"/>
        </w:trPr>
        <w:tc>
          <w:tcPr>
            <w:tcW w:w="9351" w:type="dxa"/>
          </w:tcPr>
          <w:p w:rsidR="00417EB7" w:rsidRPr="00E95ED5" w:rsidRDefault="00417EB7" w:rsidP="00B54542">
            <w:pPr>
              <w:pStyle w:val="ListParagraph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7EB7" w:rsidRPr="00E95ED5" w:rsidRDefault="00223D5E" w:rsidP="00B5454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Financial targets</w:t>
            </w:r>
          </w:p>
          <w:p w:rsidR="00417EB7" w:rsidRPr="00E95ED5" w:rsidRDefault="00223D5E" w:rsidP="00B545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Supported by the Head of Individual Giving, t</w:t>
            </w:r>
            <w:r w:rsidR="00417EB7" w:rsidRPr="00E95ED5">
              <w:rPr>
                <w:rFonts w:ascii="Arial" w:hAnsi="Arial" w:cs="Arial"/>
                <w:bCs/>
                <w:sz w:val="20"/>
                <w:szCs w:val="20"/>
              </w:rPr>
              <w:t>o meet ambitious fundraising targets for revenue projects</w:t>
            </w:r>
            <w:r w:rsidR="00350ECC">
              <w:rPr>
                <w:rFonts w:ascii="Arial" w:hAnsi="Arial" w:cs="Arial"/>
                <w:bCs/>
                <w:sz w:val="20"/>
                <w:szCs w:val="20"/>
              </w:rPr>
              <w:t xml:space="preserve"> through the successful delivery of RADA’s regular giving programmes, including RADA Friends, the Richard Attenborough Club and Supporters Circles</w:t>
            </w:r>
            <w:r w:rsidR="00417EB7" w:rsidRPr="00E95ED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417EB7" w:rsidRPr="00E95ED5" w:rsidRDefault="00417EB7" w:rsidP="00B545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Regular G</w:t>
            </w:r>
            <w:r w:rsidRPr="00E95ED5">
              <w:rPr>
                <w:rFonts w:ascii="Arial" w:hAnsi="Arial" w:cs="Arial"/>
                <w:b/>
                <w:bCs/>
                <w:sz w:val="20"/>
                <w:szCs w:val="20"/>
              </w:rPr>
              <w:t>iving</w:t>
            </w:r>
          </w:p>
          <w:p w:rsidR="00842FC5" w:rsidRPr="005C1B7B" w:rsidRDefault="00842FC5" w:rsidP="005C1B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lead on day-to-day delivery of RADA’s regular giving programmes in accordance with the Individual Giving strategy</w:t>
            </w:r>
            <w:r w:rsidR="00350ECC">
              <w:rPr>
                <w:rFonts w:ascii="Arial" w:hAnsi="Arial" w:cs="Arial"/>
                <w:bCs/>
                <w:sz w:val="20"/>
                <w:szCs w:val="20"/>
              </w:rPr>
              <w:t xml:space="preserve"> as overseen by the 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ead of Individual Giving </w:t>
            </w:r>
          </w:p>
          <w:p w:rsidR="00417EB7" w:rsidRPr="00E95ED5" w:rsidRDefault="00417EB7" w:rsidP="00B54542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E95ED5">
              <w:rPr>
                <w:b w:val="0"/>
                <w:sz w:val="20"/>
                <w:szCs w:val="20"/>
              </w:rPr>
              <w:t xml:space="preserve">To increase levels of supporter engagement and stewardship, working with the team to develop and implement a stewardship programme including regular newsletters, mailings and online activity. </w:t>
            </w:r>
          </w:p>
          <w:p w:rsidR="00417EB7" w:rsidRPr="00E95ED5" w:rsidRDefault="00417EB7" w:rsidP="00B54542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0ECC" w:rsidRDefault="00350ECC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Major gifts </w:t>
            </w:r>
            <w:r w:rsidR="00223D5E">
              <w:rPr>
                <w:rFonts w:ascii="Arial" w:hAnsi="Arial" w:cs="Arial"/>
                <w:b/>
                <w:bCs/>
                <w:sz w:val="20"/>
                <w:szCs w:val="20"/>
              </w:rPr>
              <w:t>and one-off donations</w:t>
            </w:r>
          </w:p>
          <w:p w:rsidR="00223D5E" w:rsidRPr="005C1B7B" w:rsidRDefault="00350ECC" w:rsidP="005C1B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support the Head of Individual Giving with the stewardship of RADA’s major donors as required. </w:t>
            </w:r>
          </w:p>
          <w:p w:rsidR="005C1B7B" w:rsidRPr="005C1B7B" w:rsidRDefault="00350ECC" w:rsidP="00B545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co-ordinate and oversee the administration of one-off donations; including liaising with Finance, Marketing and Operations departments to deliver financial reconciliation and stakeholder engagement. </w:t>
            </w:r>
          </w:p>
          <w:p w:rsidR="005C1B7B" w:rsidRDefault="005C1B7B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7EB7" w:rsidRDefault="00417EB7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bCs/>
                <w:sz w:val="20"/>
                <w:szCs w:val="20"/>
              </w:rPr>
              <w:t>Legacies</w:t>
            </w:r>
          </w:p>
          <w:p w:rsidR="00350ECC" w:rsidRDefault="00417EB7" w:rsidP="00B545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50ECC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350ECC" w:rsidRPr="00350ECC">
              <w:rPr>
                <w:rFonts w:ascii="Arial" w:hAnsi="Arial" w:cs="Arial"/>
                <w:bCs/>
                <w:sz w:val="20"/>
                <w:szCs w:val="20"/>
              </w:rPr>
              <w:t xml:space="preserve">support the Head of Individual Giving in the </w:t>
            </w:r>
            <w:r w:rsidRPr="00350ECC">
              <w:rPr>
                <w:rFonts w:ascii="Arial" w:hAnsi="Arial" w:cs="Arial"/>
                <w:bCs/>
                <w:sz w:val="20"/>
                <w:szCs w:val="20"/>
              </w:rPr>
              <w:t xml:space="preserve">delivery of </w:t>
            </w:r>
            <w:r w:rsidR="00350ECC" w:rsidRPr="00350ECC">
              <w:rPr>
                <w:rFonts w:ascii="Arial" w:hAnsi="Arial" w:cs="Arial"/>
                <w:bCs/>
                <w:sz w:val="20"/>
                <w:szCs w:val="20"/>
              </w:rPr>
              <w:t xml:space="preserve">RADA’s legacy giving programme, overseeing administration of </w:t>
            </w:r>
            <w:r w:rsidR="00350ECC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="00350ECC" w:rsidRPr="00350ECC">
              <w:rPr>
                <w:rFonts w:ascii="Arial" w:hAnsi="Arial" w:cs="Arial"/>
                <w:bCs/>
                <w:sz w:val="20"/>
                <w:szCs w:val="20"/>
              </w:rPr>
              <w:t xml:space="preserve">bequests </w:t>
            </w:r>
            <w:r w:rsidR="00350ECC">
              <w:rPr>
                <w:rFonts w:ascii="Arial" w:hAnsi="Arial" w:cs="Arial"/>
                <w:bCs/>
                <w:sz w:val="20"/>
                <w:szCs w:val="20"/>
              </w:rPr>
              <w:t xml:space="preserve">made </w:t>
            </w:r>
          </w:p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3D5E" w:rsidRPr="00223D5E" w:rsidRDefault="00417EB7" w:rsidP="00B545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Stakeholder M</w:t>
            </w:r>
            <w:r w:rsidRPr="00E95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anagement </w:t>
            </w:r>
          </w:p>
          <w:p w:rsidR="00223D5E" w:rsidRPr="005C1B7B" w:rsidRDefault="00417EB7" w:rsidP="00B54542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E95ED5">
              <w:rPr>
                <w:b w:val="0"/>
                <w:sz w:val="20"/>
                <w:szCs w:val="20"/>
              </w:rPr>
              <w:t>To work collaboratively across the developme</w:t>
            </w:r>
            <w:r w:rsidR="00223D5E">
              <w:rPr>
                <w:b w:val="0"/>
                <w:sz w:val="20"/>
                <w:szCs w:val="20"/>
              </w:rPr>
              <w:t xml:space="preserve">nt and the organisation to help </w:t>
            </w:r>
            <w:r w:rsidRPr="00E95ED5">
              <w:rPr>
                <w:b w:val="0"/>
                <w:sz w:val="20"/>
                <w:szCs w:val="20"/>
              </w:rPr>
              <w:t xml:space="preserve">generate leads </w:t>
            </w:r>
            <w:r w:rsidR="00223D5E">
              <w:rPr>
                <w:b w:val="0"/>
                <w:sz w:val="20"/>
                <w:szCs w:val="20"/>
              </w:rPr>
              <w:t xml:space="preserve">from individual donors. </w:t>
            </w:r>
          </w:p>
          <w:p w:rsidR="009D01A9" w:rsidRPr="009D01A9" w:rsidRDefault="00223D5E" w:rsidP="009D01A9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contribute to the delivery of fundraising events, including managing nominated portfolio of individual patrons. </w:t>
            </w:r>
          </w:p>
          <w:p w:rsidR="00417EB7" w:rsidRPr="00E95ED5" w:rsidRDefault="00417EB7" w:rsidP="00B545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EB7" w:rsidRPr="00E95ED5" w:rsidRDefault="009D01A9" w:rsidP="00B545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  <w:p w:rsidR="009D01A9" w:rsidRPr="005C1B7B" w:rsidRDefault="009D01A9" w:rsidP="005C1B7B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administrate with the Development Officer, Events and Communications, departmental finance duties, including weekly banking and managing departmental gift aid claims. </w:t>
            </w:r>
          </w:p>
          <w:p w:rsidR="009D01A9" w:rsidRPr="005C1B7B" w:rsidRDefault="009D01A9" w:rsidP="005C1B7B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offer diary management support to the Director of Development with coordinating nominated external appointment, if not in other departmental relationship managers remit. </w:t>
            </w:r>
          </w:p>
          <w:p w:rsidR="009D01A9" w:rsidRPr="005C1B7B" w:rsidRDefault="009D01A9" w:rsidP="009D01A9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To coordinate regular team meetings; circulate internal departmental briefings and minutes as required. </w:t>
            </w:r>
          </w:p>
          <w:p w:rsidR="00417EB7" w:rsidRDefault="00417EB7" w:rsidP="00B54542">
            <w:pPr>
              <w:pStyle w:val="Title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E95ED5">
              <w:rPr>
                <w:b w:val="0"/>
                <w:sz w:val="20"/>
                <w:szCs w:val="20"/>
              </w:rPr>
              <w:t xml:space="preserve">Other duties commensurate with the activities of the Development Department and as directed by the Director of Development. </w:t>
            </w:r>
          </w:p>
          <w:p w:rsidR="00223D5E" w:rsidRDefault="00223D5E" w:rsidP="009D01A9">
            <w:pPr>
              <w:pStyle w:val="Title"/>
              <w:jc w:val="both"/>
              <w:rPr>
                <w:b w:val="0"/>
                <w:sz w:val="20"/>
                <w:szCs w:val="20"/>
              </w:rPr>
            </w:pPr>
          </w:p>
          <w:p w:rsidR="009D01A9" w:rsidRPr="009D01A9" w:rsidRDefault="009D01A9" w:rsidP="009D01A9">
            <w:pPr>
              <w:pStyle w:val="Title"/>
              <w:jc w:val="both"/>
              <w:rPr>
                <w:sz w:val="20"/>
                <w:szCs w:val="20"/>
              </w:rPr>
            </w:pPr>
            <w:r w:rsidRPr="009D01A9">
              <w:rPr>
                <w:sz w:val="20"/>
                <w:szCs w:val="20"/>
              </w:rPr>
              <w:t xml:space="preserve">General </w:t>
            </w:r>
          </w:p>
          <w:p w:rsidR="00223D5E" w:rsidRPr="005C1B7B" w:rsidRDefault="00417EB7" w:rsidP="005C1B7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ED5">
              <w:rPr>
                <w:rFonts w:ascii="Arial" w:hAnsi="Arial" w:cs="Arial"/>
                <w:sz w:val="20"/>
                <w:szCs w:val="20"/>
              </w:rPr>
              <w:t>To promote Equality, Diversity and Inclusion at all times and ensure they are at the forefront of your thinking when undertaking your responsibilities.</w:t>
            </w:r>
          </w:p>
          <w:p w:rsidR="00223D5E" w:rsidRPr="00223D5E" w:rsidRDefault="00417EB7" w:rsidP="00B545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ED5">
              <w:rPr>
                <w:rFonts w:ascii="Arial" w:hAnsi="Arial" w:cs="Arial"/>
                <w:sz w:val="20"/>
                <w:szCs w:val="20"/>
              </w:rPr>
              <w:t>To comply with GDPR regulations reg</w:t>
            </w:r>
            <w:r w:rsidR="005C1B7B">
              <w:rPr>
                <w:rFonts w:ascii="Arial" w:hAnsi="Arial" w:cs="Arial"/>
                <w:sz w:val="20"/>
                <w:szCs w:val="20"/>
              </w:rPr>
              <w:t>arding protecting personal data.</w:t>
            </w:r>
          </w:p>
          <w:p w:rsidR="00417EB7" w:rsidRPr="00E95ED5" w:rsidRDefault="00417EB7" w:rsidP="00B545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ED5">
              <w:rPr>
                <w:rFonts w:ascii="Arial" w:hAnsi="Arial" w:cs="Arial"/>
                <w:sz w:val="20"/>
                <w:szCs w:val="20"/>
              </w:rPr>
              <w:t>To comply with Health and Safety legislation and ensure you are up to date with RADA’s Health and Safety Policy.</w:t>
            </w:r>
          </w:p>
          <w:p w:rsidR="00417EB7" w:rsidRPr="00E95ED5" w:rsidRDefault="00417EB7" w:rsidP="00B54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EB7" w:rsidRPr="00E95ED5" w:rsidRDefault="00417EB7" w:rsidP="00B545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7EB7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B7B" w:rsidRPr="00E95ED5" w:rsidRDefault="005C1B7B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Default="00417EB7" w:rsidP="00B54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5ED5">
        <w:rPr>
          <w:rFonts w:ascii="Arial" w:hAnsi="Arial" w:cs="Arial"/>
          <w:b/>
          <w:sz w:val="20"/>
          <w:szCs w:val="20"/>
        </w:rPr>
        <w:t>Person Specification</w:t>
      </w:r>
    </w:p>
    <w:p w:rsidR="005C1B7B" w:rsidRPr="00E95ED5" w:rsidRDefault="005C1B7B" w:rsidP="00B54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3293"/>
      </w:tblGrid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17EB7" w:rsidRDefault="00417EB7" w:rsidP="00B54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5C1B7B" w:rsidRPr="00E95ED5" w:rsidRDefault="005C1B7B" w:rsidP="00B54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E95ED5" w:rsidRDefault="00417EB7" w:rsidP="00B54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253" w:type="dxa"/>
          </w:tcPr>
          <w:p w:rsidR="00417EB7" w:rsidRPr="00B54542" w:rsidRDefault="00417EB7" w:rsidP="00B545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Educated to degree level or comparable</w:t>
            </w:r>
            <w:r w:rsidR="00380F36">
              <w:rPr>
                <w:rFonts w:ascii="Arial" w:hAnsi="Arial" w:cs="Arial"/>
                <w:sz w:val="20"/>
                <w:szCs w:val="20"/>
              </w:rPr>
              <w:t xml:space="preserve"> relevant experience. </w:t>
            </w:r>
          </w:p>
          <w:p w:rsidR="00B54542" w:rsidRPr="00E95ED5" w:rsidRDefault="00B54542" w:rsidP="00B54542">
            <w:pPr>
              <w:pStyle w:val="ListParagraph"/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D5460B" w:rsidRDefault="00D5460B" w:rsidP="00D546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5460B">
              <w:rPr>
                <w:rFonts w:ascii="Arial" w:hAnsi="Arial" w:cs="Arial"/>
                <w:sz w:val="20"/>
                <w:szCs w:val="20"/>
              </w:rPr>
              <w:t>A Fundraising qualification</w:t>
            </w: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4253" w:type="dxa"/>
          </w:tcPr>
          <w:p w:rsidR="00B54542" w:rsidRDefault="00B54542" w:rsidP="00B545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417EB7" w:rsidRPr="00B54542">
              <w:rPr>
                <w:rFonts w:ascii="Arial" w:hAnsi="Arial" w:cs="Arial"/>
                <w:sz w:val="20"/>
                <w:szCs w:val="20"/>
              </w:rPr>
              <w:t>unde</w:t>
            </w:r>
            <w:r>
              <w:rPr>
                <w:rFonts w:ascii="Arial" w:hAnsi="Arial" w:cs="Arial"/>
                <w:sz w:val="20"/>
                <w:szCs w:val="20"/>
              </w:rPr>
              <w:t>rstanding of individual giving and regular giving programmes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 xml:space="preserve">Knowledge of regulatory environment for fundraising from individuals including data protection, </w:t>
            </w:r>
            <w:r w:rsidR="00D4717C">
              <w:rPr>
                <w:rFonts w:ascii="Arial" w:hAnsi="Arial" w:cs="Arial"/>
                <w:sz w:val="20"/>
                <w:szCs w:val="20"/>
              </w:rPr>
              <w:t xml:space="preserve">specifically GDPR, </w:t>
            </w:r>
            <w:r w:rsidRPr="00B54542">
              <w:rPr>
                <w:rFonts w:ascii="Arial" w:hAnsi="Arial" w:cs="Arial"/>
                <w:sz w:val="20"/>
                <w:szCs w:val="20"/>
              </w:rPr>
              <w:t xml:space="preserve">Gift </w:t>
            </w:r>
            <w:r w:rsidRPr="00B54542">
              <w:rPr>
                <w:rFonts w:ascii="Arial" w:hAnsi="Arial" w:cs="Arial"/>
                <w:sz w:val="20"/>
                <w:szCs w:val="20"/>
              </w:rPr>
              <w:lastRenderedPageBreak/>
              <w:t xml:space="preserve">Aid and fundraising codes of practice and regulation </w:t>
            </w:r>
          </w:p>
        </w:tc>
        <w:tc>
          <w:tcPr>
            <w:tcW w:w="3293" w:type="dxa"/>
          </w:tcPr>
          <w:p w:rsidR="005C1B7B" w:rsidRDefault="00417EB7" w:rsidP="005C1B7B">
            <w:pPr>
              <w:pStyle w:val="ListParagraph"/>
              <w:numPr>
                <w:ilvl w:val="0"/>
                <w:numId w:val="7"/>
              </w:numPr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5C1B7B">
              <w:rPr>
                <w:rFonts w:ascii="Arial" w:hAnsi="Arial" w:cs="Arial"/>
                <w:sz w:val="20"/>
                <w:szCs w:val="20"/>
              </w:rPr>
              <w:lastRenderedPageBreak/>
              <w:t>Knowledge of Higher Education, Vocational Training and Theatre Industry</w:t>
            </w:r>
          </w:p>
          <w:p w:rsidR="005C1B7B" w:rsidRDefault="00417EB7" w:rsidP="005C1B7B">
            <w:pPr>
              <w:pStyle w:val="ListParagraph"/>
              <w:numPr>
                <w:ilvl w:val="0"/>
                <w:numId w:val="7"/>
              </w:numPr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5C1B7B">
              <w:rPr>
                <w:rFonts w:ascii="Arial" w:hAnsi="Arial" w:cs="Arial"/>
                <w:sz w:val="20"/>
                <w:szCs w:val="20"/>
              </w:rPr>
              <w:t>Interest in theatre and the dramatic arts</w:t>
            </w:r>
          </w:p>
          <w:p w:rsidR="00417EB7" w:rsidRPr="005C1B7B" w:rsidRDefault="00417EB7" w:rsidP="005C1B7B">
            <w:pPr>
              <w:pStyle w:val="ListParagraph"/>
              <w:numPr>
                <w:ilvl w:val="0"/>
                <w:numId w:val="7"/>
              </w:numPr>
              <w:ind w:left="320" w:hanging="283"/>
              <w:rPr>
                <w:rFonts w:ascii="Arial" w:hAnsi="Arial" w:cs="Arial"/>
                <w:sz w:val="20"/>
                <w:szCs w:val="20"/>
              </w:rPr>
            </w:pPr>
            <w:r w:rsidRPr="005C1B7B">
              <w:rPr>
                <w:rFonts w:ascii="Arial" w:hAnsi="Arial" w:cs="Arial"/>
                <w:sz w:val="20"/>
                <w:szCs w:val="20"/>
              </w:rPr>
              <w:lastRenderedPageBreak/>
              <w:t>Knowledge of the issues affecting the HE / cultural sector</w:t>
            </w:r>
          </w:p>
          <w:p w:rsidR="00417EB7" w:rsidRPr="00E95ED5" w:rsidRDefault="00417EB7" w:rsidP="00B54542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Skills/abilities/</w:t>
            </w:r>
          </w:p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competencies</w:t>
            </w:r>
          </w:p>
        </w:tc>
        <w:tc>
          <w:tcPr>
            <w:tcW w:w="4253" w:type="dxa"/>
          </w:tcPr>
          <w:p w:rsidR="00B54542" w:rsidRDefault="00B54542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Excellent Individual Giving</w:t>
            </w:r>
            <w:r w:rsidR="00417EB7" w:rsidRPr="00E95ED5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fundraising skills </w:t>
            </w:r>
          </w:p>
          <w:p w:rsidR="00B54542" w:rsidRPr="00B54542" w:rsidRDefault="00417EB7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Excellent written and verbal communication skill, with a fluent writing style and the ability to communicate effectively in a wide range of media</w:t>
            </w:r>
          </w:p>
          <w:p w:rsidR="00B54542" w:rsidRDefault="00417EB7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B54542">
              <w:rPr>
                <w:rFonts w:ascii="Arial" w:hAnsi="Arial" w:cs="Arial"/>
                <w:i w:val="0"/>
                <w:sz w:val="20"/>
                <w:szCs w:val="20"/>
              </w:rPr>
              <w:t>IT literate with good knowledge of a fundraising database</w:t>
            </w:r>
          </w:p>
          <w:p w:rsidR="00B54542" w:rsidRDefault="00417EB7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B54542">
              <w:rPr>
                <w:rFonts w:ascii="Arial" w:hAnsi="Arial" w:cs="Arial"/>
                <w:i w:val="0"/>
                <w:sz w:val="20"/>
                <w:szCs w:val="20"/>
              </w:rPr>
              <w:t>A good eye for detail and to ensure high standard</w:t>
            </w:r>
            <w:r w:rsidR="00B54542" w:rsidRPr="00B54542">
              <w:rPr>
                <w:rFonts w:ascii="Arial" w:hAnsi="Arial" w:cs="Arial"/>
                <w:i w:val="0"/>
                <w:sz w:val="20"/>
                <w:szCs w:val="20"/>
              </w:rPr>
              <w:t>s whilst working under pressure</w:t>
            </w:r>
          </w:p>
          <w:p w:rsidR="00417EB7" w:rsidRPr="00B54542" w:rsidRDefault="00417EB7" w:rsidP="00B54542">
            <w:pPr>
              <w:pStyle w:val="Heading1"/>
              <w:numPr>
                <w:ilvl w:val="0"/>
                <w:numId w:val="8"/>
              </w:numPr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B54542">
              <w:rPr>
                <w:rFonts w:ascii="Arial" w:hAnsi="Arial" w:cs="Arial"/>
                <w:i w:val="0"/>
                <w:sz w:val="20"/>
                <w:szCs w:val="20"/>
              </w:rPr>
              <w:t xml:space="preserve">Excellent time management and organisational skills </w:t>
            </w:r>
          </w:p>
          <w:p w:rsidR="00417EB7" w:rsidRPr="00E95ED5" w:rsidRDefault="00417EB7" w:rsidP="00B545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E95ED5" w:rsidRDefault="00417EB7" w:rsidP="00B54542">
            <w:pPr>
              <w:pStyle w:val="ListParagraph"/>
              <w:ind w:left="459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253" w:type="dxa"/>
          </w:tcPr>
          <w:p w:rsidR="00D4717C" w:rsidRPr="00B54542" w:rsidRDefault="00D4717C" w:rsidP="00D471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Experience of regular giving programmes</w:t>
            </w:r>
          </w:p>
          <w:p w:rsidR="00B54542" w:rsidRPr="00B54542" w:rsidRDefault="00B54542" w:rsidP="00B545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E</w:t>
            </w:r>
            <w:r w:rsidR="00417EB7" w:rsidRPr="00B54542">
              <w:rPr>
                <w:rFonts w:ascii="Arial" w:hAnsi="Arial" w:cs="Arial"/>
                <w:sz w:val="20"/>
                <w:szCs w:val="20"/>
              </w:rPr>
              <w:t>xperience of securing</w:t>
            </w:r>
            <w:r w:rsidRPr="00B54542">
              <w:rPr>
                <w:rFonts w:ascii="Arial" w:hAnsi="Arial" w:cs="Arial"/>
                <w:sz w:val="20"/>
                <w:szCs w:val="20"/>
              </w:rPr>
              <w:t xml:space="preserve"> income from individual giving</w:t>
            </w:r>
            <w:r w:rsidR="00417EB7" w:rsidRPr="00B54542">
              <w:rPr>
                <w:rFonts w:ascii="Arial" w:hAnsi="Arial" w:cs="Arial"/>
                <w:sz w:val="20"/>
                <w:szCs w:val="20"/>
              </w:rPr>
              <w:t xml:space="preserve"> for revenue and capital projects </w:t>
            </w:r>
          </w:p>
          <w:p w:rsidR="00417EB7" w:rsidRDefault="00B54542" w:rsidP="00B5454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Fun</w:t>
            </w:r>
            <w:r w:rsidR="00417EB7" w:rsidRPr="00B54542">
              <w:rPr>
                <w:rFonts w:ascii="Arial" w:hAnsi="Arial" w:cs="Arial"/>
                <w:sz w:val="20"/>
                <w:szCs w:val="20"/>
              </w:rPr>
              <w:t xml:space="preserve">draising experience within the arts, education or charity sectors </w:t>
            </w:r>
          </w:p>
          <w:p w:rsidR="005C1B7B" w:rsidRPr="00B54542" w:rsidRDefault="005C1B7B" w:rsidP="005C1B7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E95ED5" w:rsidRDefault="00417EB7" w:rsidP="00B54542">
            <w:pPr>
              <w:pStyle w:val="Heading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7" w:rsidRPr="00E95ED5" w:rsidTr="00B54542">
        <w:tc>
          <w:tcPr>
            <w:tcW w:w="1696" w:type="dxa"/>
          </w:tcPr>
          <w:p w:rsidR="00417EB7" w:rsidRPr="00E95ED5" w:rsidRDefault="00417EB7" w:rsidP="00B54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ED5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253" w:type="dxa"/>
          </w:tcPr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Committed and driven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Self-motivated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Personable team player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Diplomatic and confident at dealing with people at all levels</w:t>
            </w:r>
          </w:p>
          <w:p w:rsidR="00417EB7" w:rsidRPr="00B54542" w:rsidRDefault="00417EB7" w:rsidP="00B54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54542">
              <w:rPr>
                <w:rFonts w:ascii="Arial" w:hAnsi="Arial" w:cs="Arial"/>
                <w:sz w:val="20"/>
                <w:szCs w:val="20"/>
              </w:rPr>
              <w:t>Enthusiastic</w:t>
            </w:r>
          </w:p>
          <w:p w:rsidR="00417EB7" w:rsidRPr="00E95ED5" w:rsidRDefault="00417EB7" w:rsidP="00B54542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7EB7" w:rsidRPr="00E95ED5" w:rsidRDefault="00417EB7" w:rsidP="00B54542">
            <w:pPr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Pr="00E95ED5" w:rsidRDefault="00417EB7" w:rsidP="00B54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EB7" w:rsidRPr="00E95ED5" w:rsidRDefault="00417EB7" w:rsidP="00B54542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C1B7B" w:rsidRPr="00592E98" w:rsidRDefault="005C1B7B" w:rsidP="005C1B7B">
      <w:pPr>
        <w:rPr>
          <w:rFonts w:ascii="Arial" w:hAnsi="Arial" w:cs="Arial"/>
          <w:sz w:val="20"/>
          <w:szCs w:val="20"/>
        </w:rPr>
      </w:pPr>
      <w:r w:rsidRPr="00592E98">
        <w:rPr>
          <w:rFonts w:ascii="Arial" w:hAnsi="Arial" w:cs="Arial"/>
          <w:sz w:val="20"/>
          <w:szCs w:val="20"/>
        </w:rPr>
        <w:t>Signed by Line Manager:</w:t>
      </w:r>
    </w:p>
    <w:p w:rsidR="005C1B7B" w:rsidRDefault="005C1B7B" w:rsidP="005C1B7B">
      <w:pPr>
        <w:rPr>
          <w:rFonts w:ascii="Arial" w:hAnsi="Arial" w:cs="Arial"/>
          <w:sz w:val="20"/>
          <w:szCs w:val="20"/>
        </w:rPr>
      </w:pPr>
      <w:r w:rsidRPr="00592E98">
        <w:rPr>
          <w:rFonts w:ascii="Arial" w:hAnsi="Arial" w:cs="Arial"/>
          <w:sz w:val="20"/>
          <w:szCs w:val="20"/>
        </w:rPr>
        <w:t>Date:</w:t>
      </w:r>
    </w:p>
    <w:p w:rsidR="005C1B7B" w:rsidRPr="00592E98" w:rsidRDefault="005C1B7B" w:rsidP="005C1B7B">
      <w:pPr>
        <w:rPr>
          <w:rFonts w:ascii="Arial" w:hAnsi="Arial" w:cs="Arial"/>
          <w:sz w:val="20"/>
          <w:szCs w:val="20"/>
        </w:rPr>
      </w:pPr>
    </w:p>
    <w:p w:rsidR="005C1B7B" w:rsidRPr="00592E98" w:rsidRDefault="005C1B7B" w:rsidP="005C1B7B">
      <w:pPr>
        <w:rPr>
          <w:rFonts w:ascii="Arial" w:hAnsi="Arial" w:cs="Arial"/>
          <w:sz w:val="20"/>
          <w:szCs w:val="20"/>
        </w:rPr>
      </w:pPr>
      <w:r w:rsidRPr="00592E98">
        <w:rPr>
          <w:rFonts w:ascii="Arial" w:hAnsi="Arial" w:cs="Arial"/>
          <w:sz w:val="20"/>
          <w:szCs w:val="20"/>
        </w:rPr>
        <w:t>Signed by Staff Member:</w:t>
      </w:r>
    </w:p>
    <w:p w:rsidR="005C1B7B" w:rsidRPr="00592E98" w:rsidRDefault="005C1B7B" w:rsidP="005C1B7B">
      <w:pPr>
        <w:rPr>
          <w:rFonts w:ascii="Arial" w:hAnsi="Arial" w:cs="Arial"/>
          <w:sz w:val="20"/>
          <w:szCs w:val="20"/>
        </w:rPr>
      </w:pPr>
      <w:r w:rsidRPr="00592E98">
        <w:rPr>
          <w:rFonts w:ascii="Arial" w:hAnsi="Arial" w:cs="Arial"/>
          <w:sz w:val="20"/>
          <w:szCs w:val="20"/>
        </w:rPr>
        <w:t>Date:</w:t>
      </w:r>
    </w:p>
    <w:p w:rsidR="00037F37" w:rsidRDefault="00037F37" w:rsidP="00B54542">
      <w:pPr>
        <w:spacing w:after="0" w:line="240" w:lineRule="auto"/>
      </w:pPr>
    </w:p>
    <w:sectPr w:rsidR="00037F37" w:rsidSect="00C5000D"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4D0"/>
    <w:multiLevelType w:val="hybridMultilevel"/>
    <w:tmpl w:val="C400D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13A67"/>
    <w:multiLevelType w:val="hybridMultilevel"/>
    <w:tmpl w:val="C51EC32A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39A7FE1"/>
    <w:multiLevelType w:val="hybridMultilevel"/>
    <w:tmpl w:val="5BB6C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76675"/>
    <w:multiLevelType w:val="hybridMultilevel"/>
    <w:tmpl w:val="A568F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81E59"/>
    <w:multiLevelType w:val="hybridMultilevel"/>
    <w:tmpl w:val="0670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FDC"/>
    <w:multiLevelType w:val="hybridMultilevel"/>
    <w:tmpl w:val="55749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05865"/>
    <w:multiLevelType w:val="hybridMultilevel"/>
    <w:tmpl w:val="6E460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82A57"/>
    <w:multiLevelType w:val="hybridMultilevel"/>
    <w:tmpl w:val="0A5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7728"/>
    <w:multiLevelType w:val="hybridMultilevel"/>
    <w:tmpl w:val="DFBC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6D16"/>
    <w:multiLevelType w:val="hybridMultilevel"/>
    <w:tmpl w:val="515CB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7"/>
    <w:rsid w:val="00037F37"/>
    <w:rsid w:val="00223D5E"/>
    <w:rsid w:val="00350ECC"/>
    <w:rsid w:val="00380F36"/>
    <w:rsid w:val="00417EB7"/>
    <w:rsid w:val="005C1B7B"/>
    <w:rsid w:val="00720AA4"/>
    <w:rsid w:val="00842FC5"/>
    <w:rsid w:val="00985DE3"/>
    <w:rsid w:val="009D01A9"/>
    <w:rsid w:val="009D61DC"/>
    <w:rsid w:val="00B54542"/>
    <w:rsid w:val="00D4717C"/>
    <w:rsid w:val="00D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CA7C7-08EE-45DF-8B16-5A3706B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B7"/>
  </w:style>
  <w:style w:type="paragraph" w:styleId="Heading1">
    <w:name w:val="heading 1"/>
    <w:basedOn w:val="Normal"/>
    <w:next w:val="Normal"/>
    <w:link w:val="Heading1Char"/>
    <w:qFormat/>
    <w:rsid w:val="00417E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E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417EB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7EB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17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Ledingham</dc:creator>
  <cp:keywords/>
  <dc:description/>
  <cp:lastModifiedBy>Laura Peatman</cp:lastModifiedBy>
  <cp:revision>2</cp:revision>
  <dcterms:created xsi:type="dcterms:W3CDTF">2019-05-22T13:43:00Z</dcterms:created>
  <dcterms:modified xsi:type="dcterms:W3CDTF">2019-05-22T13:43:00Z</dcterms:modified>
</cp:coreProperties>
</file>